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3A9C1" w14:textId="77777777" w:rsidR="0075022B" w:rsidRDefault="0075022B" w:rsidP="0075022B">
      <w:pPr>
        <w:pStyle w:val="Header"/>
        <w:tabs>
          <w:tab w:val="clear" w:pos="4320"/>
          <w:tab w:val="clear" w:pos="8640"/>
          <w:tab w:val="left" w:pos="2680"/>
        </w:tabs>
      </w:pPr>
      <w:r w:rsidRPr="00984963">
        <w:rPr>
          <w:rFonts w:ascii="Verdana" w:eastAsia="Calibri" w:hAnsi="Verdana" w:cs="Arial"/>
          <w:b/>
          <w:noProof/>
          <w:sz w:val="8"/>
          <w:szCs w:val="8"/>
        </w:rPr>
        <w:drawing>
          <wp:anchor distT="0" distB="0" distL="114300" distR="114300" simplePos="0" relativeHeight="251669504" behindDoc="1" locked="0" layoutInCell="1" allowOverlap="1" wp14:anchorId="3B4ADFAA" wp14:editId="4273637C">
            <wp:simplePos x="0" y="0"/>
            <wp:positionH relativeFrom="column">
              <wp:posOffset>114300</wp:posOffset>
            </wp:positionH>
            <wp:positionV relativeFrom="paragraph">
              <wp:posOffset>-228600</wp:posOffset>
            </wp:positionV>
            <wp:extent cx="2566035" cy="685800"/>
            <wp:effectExtent l="0" t="0" r="0" b="0"/>
            <wp:wrapNone/>
            <wp:docPr id="12" name="Picture 12" descr="I:\Employee Self-Serve\NASTAD Logos\Color\NASTAD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ployee Self-Serve\NASTAD Logos\Color\NASTAD Logo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6035" cy="6858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p w14:paraId="28144BEC" w14:textId="77777777" w:rsidR="00D96438" w:rsidRDefault="0075022B" w:rsidP="0075022B">
      <w:pPr>
        <w:pStyle w:val="Header"/>
        <w:tabs>
          <w:tab w:val="clear" w:pos="4320"/>
          <w:tab w:val="clear" w:pos="8640"/>
          <w:tab w:val="left" w:pos="760"/>
        </w:tabs>
      </w:pPr>
      <w:r>
        <w:rPr>
          <w:noProof/>
        </w:rPr>
        <mc:AlternateContent>
          <mc:Choice Requires="wps">
            <w:drawing>
              <wp:anchor distT="0" distB="0" distL="114300" distR="114300" simplePos="0" relativeHeight="251657216" behindDoc="0" locked="0" layoutInCell="1" allowOverlap="1" wp14:anchorId="5FBC6702" wp14:editId="59C8A532">
                <wp:simplePos x="0" y="0"/>
                <wp:positionH relativeFrom="column">
                  <wp:posOffset>-571500</wp:posOffset>
                </wp:positionH>
                <wp:positionV relativeFrom="paragraph">
                  <wp:posOffset>521970</wp:posOffset>
                </wp:positionV>
                <wp:extent cx="77724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371600"/>
                        </a:xfrm>
                        <a:prstGeom prst="rect">
                          <a:avLst/>
                        </a:prstGeom>
                        <a:solidFill>
                          <a:srgbClr val="3B036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4786F" w14:textId="77777777" w:rsidR="00F1057E" w:rsidRPr="00D96438" w:rsidRDefault="00F1057E" w:rsidP="00D96438">
                            <w:pPr>
                              <w:ind w:firstLine="720"/>
                              <w:rPr>
                                <w:rFonts w:ascii="Calibri" w:hAnsi="Calibri"/>
                                <w:color w:val="CCC0D9" w:themeColor="accent4" w:themeTint="66"/>
                                <w:sz w:val="80"/>
                                <w:szCs w:val="80"/>
                              </w:rPr>
                            </w:pPr>
                            <w:r w:rsidRPr="00D96438">
                              <w:rPr>
                                <w:rFonts w:ascii="Calibri" w:hAnsi="Calibri"/>
                                <w:color w:val="CCC0D9" w:themeColor="accent4" w:themeTint="66"/>
                                <w:sz w:val="80"/>
                                <w:szCs w:val="80"/>
                              </w:rPr>
                              <w:t>HEALTH REFORM ISSUE BRIEF</w:t>
                            </w:r>
                          </w:p>
                          <w:p w14:paraId="2AFD1B5C" w14:textId="77777777" w:rsidR="00F1057E" w:rsidRDefault="00F1057E" w:rsidP="00D96438">
                            <w:pPr>
                              <w:ind w:firstLine="720"/>
                              <w:rPr>
                                <w:rFonts w:ascii="Calibri" w:hAnsi="Calibri"/>
                                <w:color w:val="FFFFFF" w:themeColor="background1"/>
                                <w:sz w:val="42"/>
                                <w:szCs w:val="42"/>
                              </w:rPr>
                            </w:pPr>
                            <w:r>
                              <w:rPr>
                                <w:rFonts w:ascii="Calibri" w:hAnsi="Calibri"/>
                                <w:color w:val="FFFFFF" w:themeColor="background1"/>
                                <w:sz w:val="42"/>
                                <w:szCs w:val="42"/>
                              </w:rPr>
                              <w:t>Insurance Access for Preexisting Conditions – Now and Later</w:t>
                            </w:r>
                          </w:p>
                          <w:p w14:paraId="4B0F5484" w14:textId="77777777" w:rsidR="00F1057E" w:rsidRPr="00D96438" w:rsidRDefault="00F1057E" w:rsidP="00D96438">
                            <w:pPr>
                              <w:ind w:firstLine="720"/>
                              <w:rPr>
                                <w:rFonts w:ascii="Calibri" w:hAnsi="Calibri"/>
                                <w:color w:val="FFFFFF" w:themeColor="background1"/>
                                <w:sz w:val="42"/>
                                <w:szCs w:val="42"/>
                              </w:rPr>
                            </w:pPr>
                          </w:p>
                          <w:p w14:paraId="262A195B" w14:textId="77777777" w:rsidR="00F1057E" w:rsidRDefault="00F105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BC6702" id="_x0000_t202" coordsize="21600,21600" o:spt="202" path="m,l,21600r21600,l21600,xe">
                <v:stroke joinstyle="miter"/>
                <v:path gradientshapeok="t" o:connecttype="rect"/>
              </v:shapetype>
              <v:shape id="Text Box 1" o:spid="_x0000_s1026" type="#_x0000_t202" style="position:absolute;margin-left:-45pt;margin-top:41.1pt;width:61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" fillcolor="#3b036f" stroked="f">
                <v:textbox>
                  <w:txbxContent>
                    <w:p w14:paraId="4F34786F" w14:textId="77777777" w:rsidR="00F1057E" w:rsidRPr="00D96438" w:rsidRDefault="00F1057E" w:rsidP="00D96438">
                      <w:pPr>
                        <w:ind w:firstLine="720"/>
                        <w:rPr>
                          <w:rFonts w:ascii="Calibri" w:hAnsi="Calibri"/>
                          <w:color w:val="CCC0D9" w:themeColor="accent4" w:themeTint="66"/>
                          <w:sz w:val="80"/>
                          <w:szCs w:val="80"/>
                        </w:rPr>
                      </w:pPr>
                      <w:r w:rsidRPr="00D96438">
                        <w:rPr>
                          <w:rFonts w:ascii="Calibri" w:hAnsi="Calibri"/>
                          <w:color w:val="CCC0D9" w:themeColor="accent4" w:themeTint="66"/>
                          <w:sz w:val="80"/>
                          <w:szCs w:val="80"/>
                        </w:rPr>
                        <w:t>HEALTH REFORM ISSUE BRIEF</w:t>
                      </w:r>
                    </w:p>
                    <w:p w14:paraId="2AFD1B5C" w14:textId="77777777" w:rsidR="00F1057E" w:rsidRDefault="00F1057E" w:rsidP="00D96438">
                      <w:pPr>
                        <w:ind w:firstLine="720"/>
                        <w:rPr>
                          <w:rFonts w:ascii="Calibri" w:hAnsi="Calibri"/>
                          <w:color w:val="FFFFFF" w:themeColor="background1"/>
                          <w:sz w:val="42"/>
                          <w:szCs w:val="42"/>
                        </w:rPr>
                      </w:pPr>
                      <w:r>
                        <w:rPr>
                          <w:rFonts w:ascii="Calibri" w:hAnsi="Calibri"/>
                          <w:color w:val="FFFFFF" w:themeColor="background1"/>
                          <w:sz w:val="42"/>
                          <w:szCs w:val="42"/>
                        </w:rPr>
                        <w:t>Insurance Access for Preexisting Conditions – Now and Later</w:t>
                      </w:r>
                    </w:p>
                    <w:p w14:paraId="4B0F5484" w14:textId="77777777" w:rsidR="00F1057E" w:rsidRPr="00D96438" w:rsidRDefault="00F1057E" w:rsidP="00D96438">
                      <w:pPr>
                        <w:ind w:firstLine="720"/>
                        <w:rPr>
                          <w:rFonts w:ascii="Calibri" w:hAnsi="Calibri"/>
                          <w:color w:val="FFFFFF" w:themeColor="background1"/>
                          <w:sz w:val="42"/>
                          <w:szCs w:val="42"/>
                        </w:rPr>
                      </w:pPr>
                    </w:p>
                    <w:p w14:paraId="262A195B" w14:textId="77777777" w:rsidR="00F1057E" w:rsidRDefault="00F1057E"/>
                  </w:txbxContent>
                </v:textbox>
                <w10:wrap type="square"/>
              </v:shape>
            </w:pict>
          </mc:Fallback>
        </mc:AlternateContent>
      </w:r>
      <w:r w:rsidR="00D96438">
        <w:br/>
      </w:r>
      <w:r w:rsidR="00D96438">
        <w:tab/>
      </w:r>
    </w:p>
    <w:p w14:paraId="2DB16B7C" w14:textId="77777777" w:rsidR="00D96438" w:rsidRDefault="00D96438"/>
    <w:p w14:paraId="0A754A38" w14:textId="77777777" w:rsidR="00D96438" w:rsidRPr="001A27E0" w:rsidRDefault="00D96438"/>
    <w:p w14:paraId="50ACF579" w14:textId="77777777" w:rsidR="001A27E0" w:rsidRPr="001A27E0" w:rsidRDefault="001A27E0">
      <w:pPr>
        <w:rPr>
          <w:color w:val="112180"/>
        </w:rPr>
        <w:sectPr w:rsidR="001A27E0" w:rsidRPr="001A27E0" w:rsidSect="005A7270">
          <w:headerReference w:type="even" r:id="rId10"/>
          <w:headerReference w:type="default" r:id="rId11"/>
          <w:footerReference w:type="even" r:id="rId12"/>
          <w:footerReference w:type="default" r:id="rId13"/>
          <w:headerReference w:type="first" r:id="rId14"/>
          <w:endnotePr>
            <w:numFmt w:val="decimal"/>
          </w:endnotePr>
          <w:pgSz w:w="12240" w:h="15840"/>
          <w:pgMar w:top="720" w:right="720" w:bottom="360" w:left="720" w:header="720" w:footer="360" w:gutter="0"/>
          <w:cols w:space="720"/>
          <w:titlePg/>
          <w:docGrid w:linePitch="360"/>
        </w:sectPr>
      </w:pPr>
    </w:p>
    <w:p w14:paraId="16520677" w14:textId="77777777" w:rsidR="00D96438" w:rsidRPr="006431D0" w:rsidRDefault="001A27E0">
      <w:pPr>
        <w:rPr>
          <w:rFonts w:ascii="Verdana" w:hAnsi="Verdana"/>
          <w:b/>
          <w:color w:val="112180"/>
          <w:sz w:val="20"/>
          <w:szCs w:val="20"/>
        </w:rPr>
      </w:pPr>
      <w:r w:rsidRPr="0075022B">
        <w:rPr>
          <w:rFonts w:ascii="Verdana" w:hAnsi="Verdana"/>
          <w:b/>
          <w:color w:val="112180"/>
        </w:rPr>
        <w:lastRenderedPageBreak/>
        <w:t>Overview</w:t>
      </w:r>
    </w:p>
    <w:p w14:paraId="63CEBF19" w14:textId="77777777" w:rsidR="00D96438" w:rsidRPr="006431D0" w:rsidRDefault="00D96438">
      <w:pPr>
        <w:rPr>
          <w:rFonts w:ascii="Verdana" w:hAnsi="Verdana"/>
          <w:sz w:val="20"/>
          <w:szCs w:val="20"/>
        </w:rPr>
      </w:pPr>
    </w:p>
    <w:p w14:paraId="0D8600F2" w14:textId="39F6FDDD" w:rsidR="001A27E0" w:rsidRPr="006431D0" w:rsidRDefault="00245D52" w:rsidP="001A27E0">
      <w:pPr>
        <w:rPr>
          <w:rFonts w:ascii="Verdana" w:hAnsi="Verdana"/>
          <w:sz w:val="20"/>
          <w:szCs w:val="20"/>
        </w:rPr>
      </w:pPr>
      <w:r w:rsidRPr="006431D0">
        <w:rPr>
          <w:rFonts w:ascii="Verdana" w:hAnsi="Verdana"/>
          <w:sz w:val="20"/>
          <w:szCs w:val="20"/>
        </w:rPr>
        <w:t>This issu</w:t>
      </w:r>
      <w:r w:rsidR="00FD4FFA">
        <w:rPr>
          <w:rFonts w:ascii="Verdana" w:hAnsi="Verdana"/>
          <w:sz w:val="20"/>
          <w:szCs w:val="20"/>
        </w:rPr>
        <w:t xml:space="preserve">e brief will focus on </w:t>
      </w:r>
      <w:r w:rsidR="00550348">
        <w:rPr>
          <w:rFonts w:ascii="Verdana" w:hAnsi="Verdana"/>
          <w:sz w:val="20"/>
          <w:szCs w:val="20"/>
        </w:rPr>
        <w:t xml:space="preserve">insurance access and coverage </w:t>
      </w:r>
      <w:r w:rsidR="00426CAA">
        <w:rPr>
          <w:rFonts w:ascii="Verdana" w:hAnsi="Verdana"/>
          <w:sz w:val="20"/>
          <w:szCs w:val="20"/>
        </w:rPr>
        <w:t>for individuals with preexisting conditions</w:t>
      </w:r>
      <w:r w:rsidR="0009547F">
        <w:rPr>
          <w:rFonts w:ascii="Verdana" w:hAnsi="Verdana"/>
          <w:sz w:val="20"/>
          <w:szCs w:val="20"/>
        </w:rPr>
        <w:t xml:space="preserve">, including </w:t>
      </w:r>
      <w:r w:rsidR="007C3018">
        <w:rPr>
          <w:rFonts w:ascii="Verdana" w:hAnsi="Verdana"/>
          <w:sz w:val="20"/>
          <w:szCs w:val="20"/>
        </w:rPr>
        <w:t>individuals living with</w:t>
      </w:r>
      <w:r w:rsidR="0009547F">
        <w:rPr>
          <w:rFonts w:ascii="Verdana" w:hAnsi="Verdana"/>
          <w:sz w:val="20"/>
          <w:szCs w:val="20"/>
        </w:rPr>
        <w:t xml:space="preserve"> HIV/AIDS</w:t>
      </w:r>
      <w:r w:rsidR="00561B55">
        <w:rPr>
          <w:rFonts w:ascii="Verdana" w:hAnsi="Verdana"/>
          <w:sz w:val="20"/>
          <w:szCs w:val="20"/>
        </w:rPr>
        <w:t>. This</w:t>
      </w:r>
      <w:r w:rsidR="00FD4FFA">
        <w:rPr>
          <w:rFonts w:ascii="Verdana" w:hAnsi="Verdana"/>
          <w:sz w:val="20"/>
          <w:szCs w:val="20"/>
        </w:rPr>
        <w:t xml:space="preserve"> </w:t>
      </w:r>
      <w:r w:rsidR="00561B55">
        <w:rPr>
          <w:rFonts w:ascii="Verdana" w:hAnsi="Verdana"/>
          <w:sz w:val="20"/>
          <w:szCs w:val="20"/>
        </w:rPr>
        <w:t xml:space="preserve">includes </w:t>
      </w:r>
      <w:r w:rsidR="00FD4FFA">
        <w:rPr>
          <w:rFonts w:ascii="Verdana" w:hAnsi="Verdana"/>
          <w:sz w:val="20"/>
          <w:szCs w:val="20"/>
        </w:rPr>
        <w:t xml:space="preserve">both </w:t>
      </w:r>
      <w:r w:rsidR="005A7E3E">
        <w:rPr>
          <w:rFonts w:ascii="Verdana" w:hAnsi="Verdana"/>
          <w:sz w:val="20"/>
          <w:szCs w:val="20"/>
        </w:rPr>
        <w:t xml:space="preserve">state-run high risk pools and </w:t>
      </w:r>
      <w:r w:rsidR="00FD4FFA">
        <w:rPr>
          <w:rFonts w:ascii="Verdana" w:hAnsi="Verdana"/>
          <w:sz w:val="20"/>
          <w:szCs w:val="20"/>
        </w:rPr>
        <w:t xml:space="preserve">Preexisting Condition Insurance Pools (PCIPs) </w:t>
      </w:r>
      <w:r w:rsidR="005A7E3E">
        <w:rPr>
          <w:rFonts w:ascii="Verdana" w:hAnsi="Verdana"/>
          <w:sz w:val="20"/>
          <w:szCs w:val="20"/>
        </w:rPr>
        <w:t xml:space="preserve">that the Affordable Care Act (ACA) </w:t>
      </w:r>
      <w:r w:rsidR="00FD4FFA">
        <w:rPr>
          <w:rFonts w:ascii="Verdana" w:hAnsi="Verdana"/>
          <w:sz w:val="20"/>
          <w:szCs w:val="20"/>
        </w:rPr>
        <w:t>created</w:t>
      </w:r>
      <w:r w:rsidR="005A7E3E">
        <w:rPr>
          <w:rFonts w:ascii="Verdana" w:hAnsi="Verdana"/>
          <w:sz w:val="20"/>
          <w:szCs w:val="20"/>
        </w:rPr>
        <w:t xml:space="preserve">. This brief will also examine </w:t>
      </w:r>
      <w:r w:rsidR="00FD4FFA">
        <w:rPr>
          <w:rFonts w:ascii="Verdana" w:hAnsi="Verdana"/>
          <w:sz w:val="20"/>
          <w:szCs w:val="20"/>
        </w:rPr>
        <w:t xml:space="preserve">the transition from these pools to </w:t>
      </w:r>
      <w:r w:rsidR="00FC2A3C">
        <w:rPr>
          <w:rFonts w:ascii="Verdana" w:hAnsi="Verdana"/>
          <w:sz w:val="20"/>
          <w:szCs w:val="20"/>
        </w:rPr>
        <w:t xml:space="preserve">ACA-created insurance marketplaces, called </w:t>
      </w:r>
      <w:r w:rsidR="00FD4FFA">
        <w:rPr>
          <w:rFonts w:ascii="Verdana" w:hAnsi="Verdana"/>
          <w:sz w:val="20"/>
          <w:szCs w:val="20"/>
        </w:rPr>
        <w:t>exchanges</w:t>
      </w:r>
      <w:r w:rsidR="00FC2A3C">
        <w:rPr>
          <w:rFonts w:ascii="Verdana" w:hAnsi="Verdana"/>
          <w:sz w:val="20"/>
          <w:szCs w:val="20"/>
        </w:rPr>
        <w:t>,</w:t>
      </w:r>
      <w:r w:rsidR="00FD4FFA">
        <w:rPr>
          <w:rFonts w:ascii="Verdana" w:hAnsi="Verdana"/>
          <w:sz w:val="20"/>
          <w:szCs w:val="20"/>
        </w:rPr>
        <w:t xml:space="preserve"> and </w:t>
      </w:r>
      <w:r w:rsidR="00512BD9">
        <w:rPr>
          <w:rFonts w:ascii="Verdana" w:hAnsi="Verdana"/>
          <w:sz w:val="20"/>
          <w:szCs w:val="20"/>
        </w:rPr>
        <w:t xml:space="preserve">ACA-related </w:t>
      </w:r>
      <w:r w:rsidR="00FD4FFA">
        <w:rPr>
          <w:rFonts w:ascii="Verdana" w:hAnsi="Verdana"/>
          <w:sz w:val="20"/>
          <w:szCs w:val="20"/>
        </w:rPr>
        <w:t>Medicaid</w:t>
      </w:r>
      <w:r w:rsidR="00FC2A3C">
        <w:rPr>
          <w:rFonts w:ascii="Verdana" w:hAnsi="Verdana"/>
          <w:sz w:val="20"/>
          <w:szCs w:val="20"/>
        </w:rPr>
        <w:t xml:space="preserve"> expansion</w:t>
      </w:r>
      <w:r w:rsidR="00FD4FFA">
        <w:rPr>
          <w:rFonts w:ascii="Verdana" w:hAnsi="Verdana"/>
          <w:sz w:val="20"/>
          <w:szCs w:val="20"/>
        </w:rPr>
        <w:t xml:space="preserve">. </w:t>
      </w:r>
      <w:r w:rsidR="00EA2E9D">
        <w:rPr>
          <w:rFonts w:ascii="Verdana" w:hAnsi="Verdana"/>
          <w:sz w:val="20"/>
          <w:szCs w:val="20"/>
        </w:rPr>
        <w:t xml:space="preserve">Prior to the ACA, many </w:t>
      </w:r>
      <w:r w:rsidR="00FE0227">
        <w:rPr>
          <w:rFonts w:ascii="Verdana" w:hAnsi="Verdana"/>
          <w:sz w:val="20"/>
          <w:szCs w:val="20"/>
        </w:rPr>
        <w:t>states created special insurance programs</w:t>
      </w:r>
      <w:r w:rsidR="005A7E3E">
        <w:rPr>
          <w:rFonts w:ascii="Verdana" w:hAnsi="Verdana"/>
          <w:sz w:val="20"/>
          <w:szCs w:val="20"/>
        </w:rPr>
        <w:t>,</w:t>
      </w:r>
      <w:r w:rsidR="00FE0227">
        <w:rPr>
          <w:rFonts w:ascii="Verdana" w:hAnsi="Verdana"/>
          <w:sz w:val="20"/>
          <w:szCs w:val="20"/>
        </w:rPr>
        <w:t xml:space="preserve"> </w:t>
      </w:r>
      <w:r w:rsidR="00D6600C">
        <w:rPr>
          <w:rFonts w:ascii="Verdana" w:hAnsi="Verdana"/>
          <w:sz w:val="20"/>
          <w:szCs w:val="20"/>
        </w:rPr>
        <w:t>referred to as high risk pools</w:t>
      </w:r>
      <w:r w:rsidR="005A7E3E">
        <w:rPr>
          <w:rFonts w:ascii="Verdana" w:hAnsi="Verdana"/>
          <w:sz w:val="20"/>
          <w:szCs w:val="20"/>
        </w:rPr>
        <w:t>,</w:t>
      </w:r>
      <w:r w:rsidR="00D6600C">
        <w:rPr>
          <w:rFonts w:ascii="Verdana" w:hAnsi="Verdana"/>
          <w:sz w:val="20"/>
          <w:szCs w:val="20"/>
        </w:rPr>
        <w:t xml:space="preserve"> </w:t>
      </w:r>
      <w:r w:rsidR="00FE0227">
        <w:rPr>
          <w:rFonts w:ascii="Verdana" w:hAnsi="Verdana"/>
          <w:sz w:val="20"/>
          <w:szCs w:val="20"/>
        </w:rPr>
        <w:t>to provide insurance coverage for people</w:t>
      </w:r>
      <w:r w:rsidR="00D6600C">
        <w:rPr>
          <w:rFonts w:ascii="Verdana" w:hAnsi="Verdana"/>
          <w:sz w:val="20"/>
          <w:szCs w:val="20"/>
        </w:rPr>
        <w:t xml:space="preserve"> with pre-exis</w:t>
      </w:r>
      <w:r w:rsidR="00D11AB0">
        <w:rPr>
          <w:rFonts w:ascii="Verdana" w:hAnsi="Verdana"/>
          <w:sz w:val="20"/>
          <w:szCs w:val="20"/>
        </w:rPr>
        <w:t>ting conditions</w:t>
      </w:r>
      <w:r w:rsidR="00D86F76">
        <w:rPr>
          <w:rFonts w:ascii="Verdana" w:hAnsi="Verdana"/>
          <w:sz w:val="20"/>
          <w:szCs w:val="20"/>
        </w:rPr>
        <w:t xml:space="preserve"> who were</w:t>
      </w:r>
      <w:r w:rsidR="00D11AB0">
        <w:rPr>
          <w:rFonts w:ascii="Verdana" w:hAnsi="Verdana"/>
          <w:sz w:val="20"/>
          <w:szCs w:val="20"/>
        </w:rPr>
        <w:t xml:space="preserve"> </w:t>
      </w:r>
      <w:r w:rsidR="00FE0227">
        <w:rPr>
          <w:rFonts w:ascii="Verdana" w:hAnsi="Verdana"/>
          <w:sz w:val="20"/>
          <w:szCs w:val="20"/>
        </w:rPr>
        <w:t>unable to purchase private insurance plans</w:t>
      </w:r>
      <w:r w:rsidR="00D6600C">
        <w:rPr>
          <w:rFonts w:ascii="Verdana" w:hAnsi="Verdana"/>
          <w:sz w:val="20"/>
          <w:szCs w:val="20"/>
        </w:rPr>
        <w:t xml:space="preserve"> or ineligible for Medicare or Medicaid</w:t>
      </w:r>
      <w:r w:rsidR="00FE0227">
        <w:rPr>
          <w:rFonts w:ascii="Verdana" w:hAnsi="Verdana"/>
          <w:sz w:val="20"/>
          <w:szCs w:val="20"/>
        </w:rPr>
        <w:t>.</w:t>
      </w:r>
      <w:r w:rsidR="007C0E74">
        <w:rPr>
          <w:rStyle w:val="EndnoteReference"/>
          <w:rFonts w:ascii="Verdana" w:hAnsi="Verdana"/>
          <w:sz w:val="20"/>
          <w:szCs w:val="20"/>
        </w:rPr>
        <w:endnoteReference w:id="1"/>
      </w:r>
      <w:r w:rsidR="00FE0227">
        <w:rPr>
          <w:rFonts w:ascii="Verdana" w:hAnsi="Verdana"/>
          <w:sz w:val="20"/>
          <w:szCs w:val="20"/>
        </w:rPr>
        <w:t xml:space="preserve"> </w:t>
      </w:r>
      <w:r w:rsidR="00D86F76">
        <w:rPr>
          <w:rFonts w:ascii="Verdana" w:hAnsi="Verdana"/>
          <w:sz w:val="20"/>
          <w:szCs w:val="20"/>
        </w:rPr>
        <w:t>T</w:t>
      </w:r>
      <w:r w:rsidR="00EA2E9D">
        <w:rPr>
          <w:rFonts w:ascii="Verdana" w:hAnsi="Verdana"/>
          <w:sz w:val="20"/>
          <w:szCs w:val="20"/>
        </w:rPr>
        <w:t>he ACA created</w:t>
      </w:r>
      <w:r w:rsidR="00FE0227">
        <w:rPr>
          <w:rFonts w:ascii="Verdana" w:hAnsi="Verdana"/>
          <w:sz w:val="20"/>
          <w:szCs w:val="20"/>
        </w:rPr>
        <w:t xml:space="preserve"> temporary PCIPs</w:t>
      </w:r>
      <w:r w:rsidR="00D86F76">
        <w:rPr>
          <w:rFonts w:ascii="Verdana" w:hAnsi="Verdana"/>
          <w:sz w:val="20"/>
          <w:szCs w:val="20"/>
        </w:rPr>
        <w:t xml:space="preserve"> (to expire on Jan. 1, 2014)</w:t>
      </w:r>
      <w:r w:rsidR="00FE0227">
        <w:rPr>
          <w:rFonts w:ascii="Verdana" w:hAnsi="Verdana"/>
          <w:sz w:val="20"/>
          <w:szCs w:val="20"/>
        </w:rPr>
        <w:t xml:space="preserve"> as an intermediate step while states prepared to establish exchanges.</w:t>
      </w:r>
      <w:r w:rsidR="00A6348E">
        <w:rPr>
          <w:rStyle w:val="EndnoteReference"/>
          <w:rFonts w:ascii="Verdana" w:hAnsi="Verdana"/>
          <w:sz w:val="20"/>
          <w:szCs w:val="20"/>
        </w:rPr>
        <w:endnoteReference w:id="2"/>
      </w:r>
      <w:r w:rsidR="00EA1567">
        <w:rPr>
          <w:rFonts w:ascii="Verdana" w:hAnsi="Verdana"/>
          <w:sz w:val="20"/>
          <w:szCs w:val="20"/>
        </w:rPr>
        <w:t xml:space="preserve"> </w:t>
      </w:r>
      <w:r w:rsidR="005D6A25">
        <w:rPr>
          <w:rFonts w:ascii="Verdana" w:hAnsi="Verdana"/>
          <w:sz w:val="20"/>
          <w:szCs w:val="20"/>
        </w:rPr>
        <w:t xml:space="preserve">Because plans offered by the new state exchanges may not deny coverage due to preexisting conditions, many states are deciding whether to discontinue or modify their high risk pools. </w:t>
      </w:r>
      <w:r w:rsidR="00D86F76">
        <w:rPr>
          <w:rFonts w:ascii="Verdana" w:hAnsi="Verdana"/>
          <w:sz w:val="20"/>
          <w:szCs w:val="20"/>
        </w:rPr>
        <w:t>Additionally, under the ACA</w:t>
      </w:r>
      <w:r w:rsidR="00B140A0">
        <w:rPr>
          <w:rFonts w:ascii="Verdana" w:hAnsi="Verdana"/>
          <w:sz w:val="20"/>
          <w:szCs w:val="20"/>
        </w:rPr>
        <w:t>,</w:t>
      </w:r>
      <w:r w:rsidR="00D86F76">
        <w:rPr>
          <w:rFonts w:ascii="Verdana" w:hAnsi="Verdana"/>
          <w:sz w:val="20"/>
          <w:szCs w:val="20"/>
        </w:rPr>
        <w:t xml:space="preserve"> states can expand Medicaid to help cover more low-income individuals with preexisting conditions.</w:t>
      </w:r>
      <w:r w:rsidR="00A6348E">
        <w:rPr>
          <w:rStyle w:val="EndnoteReference"/>
          <w:rFonts w:ascii="Verdana" w:hAnsi="Verdana"/>
          <w:sz w:val="20"/>
          <w:szCs w:val="20"/>
        </w:rPr>
        <w:endnoteReference w:id="3"/>
      </w:r>
      <w:r w:rsidR="00D86F76">
        <w:rPr>
          <w:rFonts w:ascii="Verdana" w:hAnsi="Verdana"/>
          <w:sz w:val="20"/>
          <w:szCs w:val="20"/>
        </w:rPr>
        <w:t xml:space="preserve"> </w:t>
      </w:r>
      <w:r w:rsidR="005D6A25">
        <w:rPr>
          <w:rFonts w:ascii="Verdana" w:hAnsi="Verdana"/>
          <w:sz w:val="20"/>
          <w:szCs w:val="20"/>
        </w:rPr>
        <w:t>As the pools also cover many individuals with HIV/AIDS,</w:t>
      </w:r>
      <w:r w:rsidR="00182637">
        <w:rPr>
          <w:rStyle w:val="EndnoteReference"/>
          <w:rFonts w:ascii="Verdana" w:hAnsi="Verdana"/>
          <w:sz w:val="20"/>
          <w:szCs w:val="20"/>
        </w:rPr>
        <w:endnoteReference w:id="4"/>
      </w:r>
      <w:r w:rsidR="005D6A25">
        <w:rPr>
          <w:rFonts w:ascii="Verdana" w:hAnsi="Verdana"/>
          <w:sz w:val="20"/>
          <w:szCs w:val="20"/>
        </w:rPr>
        <w:t xml:space="preserve"> HIV/AIDS departments may wish to provide input on the implications of various options for state high risk pools</w:t>
      </w:r>
      <w:r w:rsidR="00D86F76">
        <w:rPr>
          <w:rFonts w:ascii="Verdana" w:hAnsi="Verdana"/>
          <w:sz w:val="20"/>
          <w:szCs w:val="20"/>
        </w:rPr>
        <w:t xml:space="preserve"> particularly if </w:t>
      </w:r>
      <w:r w:rsidR="005D6A25">
        <w:rPr>
          <w:rFonts w:ascii="Verdana" w:hAnsi="Verdana"/>
          <w:sz w:val="20"/>
          <w:szCs w:val="20"/>
        </w:rPr>
        <w:t>their</w:t>
      </w:r>
      <w:r w:rsidR="00A36CFF">
        <w:rPr>
          <w:rFonts w:ascii="Verdana" w:hAnsi="Verdana"/>
          <w:sz w:val="20"/>
          <w:szCs w:val="20"/>
        </w:rPr>
        <w:t xml:space="preserve"> state choose</w:t>
      </w:r>
      <w:r w:rsidR="00D86F76">
        <w:rPr>
          <w:rFonts w:ascii="Verdana" w:hAnsi="Verdana"/>
          <w:sz w:val="20"/>
          <w:szCs w:val="20"/>
        </w:rPr>
        <w:t>s</w:t>
      </w:r>
      <w:r w:rsidR="00A36CFF">
        <w:rPr>
          <w:rFonts w:ascii="Verdana" w:hAnsi="Verdana"/>
          <w:sz w:val="20"/>
          <w:szCs w:val="20"/>
        </w:rPr>
        <w:t xml:space="preserve"> to discontinue its</w:t>
      </w:r>
      <w:r w:rsidR="005D6A25">
        <w:rPr>
          <w:rFonts w:ascii="Verdana" w:hAnsi="Verdana"/>
          <w:sz w:val="20"/>
          <w:szCs w:val="20"/>
        </w:rPr>
        <w:t xml:space="preserve"> </w:t>
      </w:r>
      <w:r w:rsidR="00F1057E">
        <w:rPr>
          <w:rFonts w:ascii="Verdana" w:hAnsi="Verdana"/>
          <w:sz w:val="20"/>
          <w:szCs w:val="20"/>
        </w:rPr>
        <w:t>program</w:t>
      </w:r>
      <w:r w:rsidR="00A36CFF">
        <w:rPr>
          <w:rFonts w:ascii="Verdana" w:hAnsi="Verdana"/>
          <w:sz w:val="20"/>
          <w:szCs w:val="20"/>
        </w:rPr>
        <w:t>.</w:t>
      </w:r>
      <w:r w:rsidR="005D6A25">
        <w:rPr>
          <w:rFonts w:ascii="Verdana" w:hAnsi="Verdana"/>
          <w:sz w:val="20"/>
          <w:szCs w:val="20"/>
        </w:rPr>
        <w:t xml:space="preserve"> </w:t>
      </w:r>
      <w:r w:rsidR="00D86F76">
        <w:rPr>
          <w:rFonts w:ascii="Verdana" w:hAnsi="Verdana"/>
          <w:sz w:val="20"/>
          <w:szCs w:val="20"/>
        </w:rPr>
        <w:t>Many</w:t>
      </w:r>
      <w:r w:rsidR="00561B55">
        <w:rPr>
          <w:rFonts w:ascii="Verdana" w:hAnsi="Verdana"/>
          <w:sz w:val="20"/>
          <w:szCs w:val="20"/>
        </w:rPr>
        <w:t xml:space="preserve"> HIV/AIDS patients are </w:t>
      </w:r>
      <w:r w:rsidR="00D86F76">
        <w:rPr>
          <w:rFonts w:ascii="Verdana" w:hAnsi="Verdana"/>
          <w:sz w:val="20"/>
          <w:szCs w:val="20"/>
        </w:rPr>
        <w:t xml:space="preserve">also </w:t>
      </w:r>
      <w:r w:rsidR="00561B55">
        <w:rPr>
          <w:rFonts w:ascii="Verdana" w:hAnsi="Verdana"/>
          <w:sz w:val="20"/>
          <w:szCs w:val="20"/>
        </w:rPr>
        <w:t>e</w:t>
      </w:r>
      <w:r w:rsidR="005A7E3E">
        <w:rPr>
          <w:rFonts w:ascii="Verdana" w:hAnsi="Verdana"/>
          <w:sz w:val="20"/>
          <w:szCs w:val="20"/>
        </w:rPr>
        <w:t xml:space="preserve">nrolled in PCIPs, including some clients under the </w:t>
      </w:r>
      <w:r w:rsidR="00561B55">
        <w:rPr>
          <w:rFonts w:ascii="Verdana" w:hAnsi="Verdana"/>
          <w:sz w:val="20"/>
          <w:szCs w:val="20"/>
        </w:rPr>
        <w:t>AIDS Drug Assistance Program (ADAP).</w:t>
      </w:r>
      <w:r w:rsidR="005151FE">
        <w:rPr>
          <w:rFonts w:ascii="Verdana" w:hAnsi="Verdana"/>
          <w:sz w:val="20"/>
          <w:szCs w:val="20"/>
        </w:rPr>
        <w:t xml:space="preserve"> </w:t>
      </w:r>
      <w:r w:rsidR="00182637">
        <w:rPr>
          <w:rFonts w:ascii="Verdana" w:hAnsi="Verdana"/>
          <w:sz w:val="20"/>
          <w:szCs w:val="20"/>
        </w:rPr>
        <w:t xml:space="preserve">Some </w:t>
      </w:r>
      <w:r w:rsidR="005151FE">
        <w:rPr>
          <w:rFonts w:ascii="Verdana" w:hAnsi="Verdana"/>
          <w:sz w:val="20"/>
          <w:szCs w:val="20"/>
        </w:rPr>
        <w:t>ADAP</w:t>
      </w:r>
      <w:r w:rsidR="00182637">
        <w:rPr>
          <w:rFonts w:ascii="Verdana" w:hAnsi="Verdana"/>
          <w:sz w:val="20"/>
          <w:szCs w:val="20"/>
        </w:rPr>
        <w:t xml:space="preserve"> programs</w:t>
      </w:r>
      <w:r w:rsidR="005151FE">
        <w:rPr>
          <w:rFonts w:ascii="Verdana" w:hAnsi="Verdana"/>
          <w:sz w:val="20"/>
          <w:szCs w:val="20"/>
        </w:rPr>
        <w:t xml:space="preserve"> provide clients with financial support to enroll in PCIPs or high risk pools, rather than directly providing or paying for medications</w:t>
      </w:r>
      <w:r w:rsidR="007C0E74">
        <w:rPr>
          <w:rFonts w:ascii="Verdana" w:hAnsi="Verdana"/>
          <w:sz w:val="20"/>
          <w:szCs w:val="20"/>
        </w:rPr>
        <w:t>.</w:t>
      </w:r>
      <w:r w:rsidR="007C0E74">
        <w:rPr>
          <w:rStyle w:val="EndnoteReference"/>
          <w:rFonts w:ascii="Verdana" w:hAnsi="Verdana"/>
          <w:sz w:val="20"/>
          <w:szCs w:val="20"/>
        </w:rPr>
        <w:endnoteReference w:id="5"/>
      </w:r>
      <w:r w:rsidR="00EA1567">
        <w:rPr>
          <w:rFonts w:ascii="Verdana" w:hAnsi="Verdana"/>
          <w:sz w:val="20"/>
          <w:szCs w:val="20"/>
        </w:rPr>
        <w:t xml:space="preserve"> </w:t>
      </w:r>
      <w:r w:rsidR="00512BD9">
        <w:rPr>
          <w:rFonts w:ascii="Verdana" w:hAnsi="Verdana"/>
          <w:sz w:val="20"/>
          <w:szCs w:val="20"/>
        </w:rPr>
        <w:t>In order t</w:t>
      </w:r>
      <w:r w:rsidR="005A7E3E">
        <w:rPr>
          <w:rFonts w:ascii="Verdana" w:hAnsi="Verdana"/>
          <w:sz w:val="20"/>
          <w:szCs w:val="20"/>
        </w:rPr>
        <w:t>o ensure that coverage (and possibly treatment) is not disrupted for HIV/AIDS clients,</w:t>
      </w:r>
      <w:r w:rsidR="005D6A25" w:rsidRPr="005D6A25">
        <w:rPr>
          <w:rFonts w:ascii="Verdana" w:hAnsi="Verdana"/>
          <w:sz w:val="20"/>
          <w:szCs w:val="20"/>
        </w:rPr>
        <w:t xml:space="preserve"> </w:t>
      </w:r>
      <w:r w:rsidR="005D6A25" w:rsidRPr="006431D0">
        <w:rPr>
          <w:rFonts w:ascii="Verdana" w:hAnsi="Verdana"/>
          <w:sz w:val="20"/>
          <w:szCs w:val="20"/>
        </w:rPr>
        <w:t xml:space="preserve">it is important for ADAP coordinators and other HIV/AIDS program leadership </w:t>
      </w:r>
      <w:r w:rsidR="00A36CFF">
        <w:rPr>
          <w:rFonts w:ascii="Verdana" w:hAnsi="Verdana"/>
          <w:sz w:val="20"/>
          <w:szCs w:val="20"/>
        </w:rPr>
        <w:t xml:space="preserve">to </w:t>
      </w:r>
      <w:r w:rsidR="005D6A25">
        <w:rPr>
          <w:rFonts w:ascii="Verdana" w:hAnsi="Verdana"/>
          <w:sz w:val="20"/>
          <w:szCs w:val="20"/>
        </w:rPr>
        <w:t>understand how transitions may work</w:t>
      </w:r>
      <w:r w:rsidR="00A36CFF">
        <w:rPr>
          <w:rFonts w:ascii="Verdana" w:hAnsi="Verdana"/>
          <w:sz w:val="20"/>
          <w:szCs w:val="20"/>
        </w:rPr>
        <w:t>; especially</w:t>
      </w:r>
      <w:r w:rsidR="005D6A25">
        <w:rPr>
          <w:rFonts w:ascii="Verdana" w:hAnsi="Verdana"/>
          <w:sz w:val="20"/>
          <w:szCs w:val="20"/>
        </w:rPr>
        <w:t xml:space="preserve"> </w:t>
      </w:r>
      <w:r w:rsidR="00D11AB0">
        <w:rPr>
          <w:rFonts w:ascii="Verdana" w:hAnsi="Verdana"/>
          <w:sz w:val="20"/>
          <w:szCs w:val="20"/>
        </w:rPr>
        <w:t xml:space="preserve">to prepare </w:t>
      </w:r>
      <w:r w:rsidR="00EA1567">
        <w:rPr>
          <w:rFonts w:ascii="Verdana" w:hAnsi="Verdana"/>
          <w:sz w:val="20"/>
          <w:szCs w:val="20"/>
        </w:rPr>
        <w:t>enroll</w:t>
      </w:r>
      <w:r w:rsidR="004D5B00">
        <w:rPr>
          <w:rFonts w:ascii="Verdana" w:hAnsi="Verdana"/>
          <w:sz w:val="20"/>
          <w:szCs w:val="20"/>
        </w:rPr>
        <w:t>ing</w:t>
      </w:r>
      <w:r w:rsidR="00EA1567">
        <w:rPr>
          <w:rFonts w:ascii="Verdana" w:hAnsi="Verdana"/>
          <w:sz w:val="20"/>
          <w:szCs w:val="20"/>
        </w:rPr>
        <w:t xml:space="preserve"> </w:t>
      </w:r>
      <w:r w:rsidR="005D6A25">
        <w:rPr>
          <w:rFonts w:ascii="Verdana" w:hAnsi="Verdana"/>
          <w:sz w:val="20"/>
          <w:szCs w:val="20"/>
        </w:rPr>
        <w:t xml:space="preserve">clients </w:t>
      </w:r>
      <w:r w:rsidR="00EA1567">
        <w:rPr>
          <w:rFonts w:ascii="Verdana" w:hAnsi="Verdana"/>
          <w:sz w:val="20"/>
          <w:szCs w:val="20"/>
        </w:rPr>
        <w:t>in either the new state health exchanges or Medicaid.</w:t>
      </w:r>
      <w:r w:rsidR="005151FE">
        <w:rPr>
          <w:rFonts w:ascii="Verdana" w:hAnsi="Verdana"/>
          <w:sz w:val="20"/>
          <w:szCs w:val="20"/>
        </w:rPr>
        <w:t xml:space="preserve"> In the case of ADAP patients who receive premium support to enroll in discontinued plans </w:t>
      </w:r>
      <w:r w:rsidR="005D6A25">
        <w:rPr>
          <w:rFonts w:ascii="Verdana" w:hAnsi="Verdana"/>
          <w:sz w:val="20"/>
          <w:szCs w:val="20"/>
        </w:rPr>
        <w:t xml:space="preserve">and </w:t>
      </w:r>
      <w:r w:rsidR="005151FE">
        <w:rPr>
          <w:rFonts w:ascii="Verdana" w:hAnsi="Verdana"/>
          <w:sz w:val="20"/>
          <w:szCs w:val="20"/>
        </w:rPr>
        <w:t xml:space="preserve">who are </w:t>
      </w:r>
      <w:r w:rsidR="005151FE">
        <w:rPr>
          <w:rFonts w:ascii="Verdana" w:hAnsi="Verdana"/>
          <w:sz w:val="20"/>
          <w:szCs w:val="20"/>
        </w:rPr>
        <w:lastRenderedPageBreak/>
        <w:t>unable to qualify for</w:t>
      </w:r>
      <w:r w:rsidR="004D5B00">
        <w:rPr>
          <w:rFonts w:ascii="Verdana" w:hAnsi="Verdana"/>
          <w:sz w:val="20"/>
          <w:szCs w:val="20"/>
        </w:rPr>
        <w:t xml:space="preserve"> other </w:t>
      </w:r>
      <w:r w:rsidR="005151FE">
        <w:rPr>
          <w:rFonts w:ascii="Verdana" w:hAnsi="Verdana"/>
          <w:sz w:val="20"/>
          <w:szCs w:val="20"/>
        </w:rPr>
        <w:t>coverage, this may involve</w:t>
      </w:r>
      <w:r w:rsidR="00DF7E77">
        <w:rPr>
          <w:rFonts w:ascii="Verdana" w:hAnsi="Verdana"/>
          <w:sz w:val="20"/>
          <w:szCs w:val="20"/>
        </w:rPr>
        <w:t xml:space="preserve"> fully paying for services and treatment under </w:t>
      </w:r>
      <w:r w:rsidR="005151FE">
        <w:rPr>
          <w:rFonts w:ascii="Verdana" w:hAnsi="Verdana"/>
          <w:sz w:val="20"/>
          <w:szCs w:val="20"/>
        </w:rPr>
        <w:t>ADAP.</w:t>
      </w:r>
      <w:r w:rsidR="00DF7E77">
        <w:rPr>
          <w:rFonts w:ascii="Verdana" w:hAnsi="Verdana"/>
          <w:sz w:val="20"/>
          <w:szCs w:val="20"/>
        </w:rPr>
        <w:t xml:space="preserve"> </w:t>
      </w:r>
      <w:r w:rsidR="001A27E0" w:rsidRPr="006431D0">
        <w:rPr>
          <w:rFonts w:ascii="Verdana" w:hAnsi="Verdana"/>
          <w:sz w:val="20"/>
          <w:szCs w:val="20"/>
        </w:rPr>
        <w:t xml:space="preserve">For questions about how these </w:t>
      </w:r>
      <w:r w:rsidR="00C87449">
        <w:rPr>
          <w:rFonts w:ascii="Verdana" w:hAnsi="Verdana"/>
          <w:sz w:val="20"/>
          <w:szCs w:val="20"/>
        </w:rPr>
        <w:t>changes</w:t>
      </w:r>
      <w:r w:rsidR="001A27E0" w:rsidRPr="006431D0">
        <w:rPr>
          <w:rFonts w:ascii="Verdana" w:hAnsi="Verdana"/>
          <w:sz w:val="20"/>
          <w:szCs w:val="20"/>
        </w:rPr>
        <w:t xml:space="preserve"> will impact </w:t>
      </w:r>
      <w:r w:rsidR="00426CAA">
        <w:rPr>
          <w:rFonts w:ascii="Verdana" w:hAnsi="Verdana"/>
          <w:sz w:val="20"/>
          <w:szCs w:val="20"/>
        </w:rPr>
        <w:t>coverage</w:t>
      </w:r>
      <w:r w:rsidR="001A27E0" w:rsidRPr="006431D0">
        <w:rPr>
          <w:rFonts w:ascii="Verdana" w:hAnsi="Verdana"/>
          <w:sz w:val="20"/>
          <w:szCs w:val="20"/>
        </w:rPr>
        <w:t xml:space="preserve"> in your state, please contact </w:t>
      </w:r>
      <w:hyperlink r:id="rId15" w:history="1">
        <w:r w:rsidR="001A27E0" w:rsidRPr="006431D0">
          <w:rPr>
            <w:rStyle w:val="Hyperlink"/>
            <w:rFonts w:ascii="Verdana" w:hAnsi="Verdana"/>
            <w:sz w:val="20"/>
            <w:szCs w:val="20"/>
          </w:rPr>
          <w:t>Amy Killelea</w:t>
        </w:r>
      </w:hyperlink>
      <w:r w:rsidR="001A27E0" w:rsidRPr="006431D0">
        <w:rPr>
          <w:rFonts w:ascii="Verdana" w:hAnsi="Verdana"/>
          <w:sz w:val="20"/>
          <w:szCs w:val="20"/>
        </w:rPr>
        <w:t>.</w:t>
      </w:r>
    </w:p>
    <w:p w14:paraId="68DEF5BD" w14:textId="77777777" w:rsidR="001A27E0" w:rsidRPr="006431D0" w:rsidRDefault="001A27E0" w:rsidP="001A27E0">
      <w:pPr>
        <w:rPr>
          <w:rFonts w:ascii="Verdana" w:hAnsi="Verdana"/>
          <w:b/>
          <w:sz w:val="20"/>
          <w:szCs w:val="20"/>
        </w:rPr>
      </w:pPr>
    </w:p>
    <w:p w14:paraId="4C864BD8" w14:textId="77777777" w:rsidR="001A27E0" w:rsidRPr="006431D0" w:rsidRDefault="00C87449" w:rsidP="001A27E0">
      <w:pPr>
        <w:rPr>
          <w:rFonts w:ascii="Verdana" w:hAnsi="Verdana"/>
          <w:b/>
          <w:color w:val="112180"/>
          <w:sz w:val="20"/>
          <w:szCs w:val="20"/>
        </w:rPr>
      </w:pPr>
      <w:r>
        <w:rPr>
          <w:rFonts w:ascii="Verdana" w:hAnsi="Verdana"/>
          <w:b/>
          <w:color w:val="112180"/>
          <w:sz w:val="20"/>
          <w:szCs w:val="20"/>
        </w:rPr>
        <w:t>Health Insurance for People with Preexisting Conditions.</w:t>
      </w:r>
    </w:p>
    <w:p w14:paraId="571884CB" w14:textId="77777777" w:rsidR="001A27E0" w:rsidRPr="006431D0" w:rsidRDefault="001A27E0" w:rsidP="001A27E0">
      <w:pPr>
        <w:rPr>
          <w:rFonts w:ascii="Verdana" w:hAnsi="Verdana"/>
          <w:sz w:val="20"/>
          <w:szCs w:val="20"/>
        </w:rPr>
      </w:pPr>
    </w:p>
    <w:p w14:paraId="62AB4C17" w14:textId="77777777" w:rsidR="00E07866" w:rsidRDefault="00C87449" w:rsidP="001A27E0">
      <w:pPr>
        <w:rPr>
          <w:rFonts w:ascii="Verdana" w:hAnsi="Verdana"/>
          <w:sz w:val="20"/>
          <w:szCs w:val="20"/>
        </w:rPr>
      </w:pPr>
      <w:r w:rsidDel="0009547F">
        <w:rPr>
          <w:rFonts w:ascii="Verdana" w:hAnsi="Verdana"/>
          <w:sz w:val="20"/>
          <w:szCs w:val="20"/>
        </w:rPr>
        <w:t>There are several</w:t>
      </w:r>
      <w:r w:rsidR="000203DA" w:rsidDel="0009547F">
        <w:rPr>
          <w:rFonts w:ascii="Verdana" w:hAnsi="Verdana"/>
          <w:sz w:val="20"/>
          <w:szCs w:val="20"/>
        </w:rPr>
        <w:t xml:space="preserve"> insurance</w:t>
      </w:r>
      <w:r w:rsidDel="0009547F">
        <w:rPr>
          <w:rFonts w:ascii="Verdana" w:hAnsi="Verdana"/>
          <w:sz w:val="20"/>
          <w:szCs w:val="20"/>
        </w:rPr>
        <w:t xml:space="preserve"> programs available to individuals with preexisting conditions. </w:t>
      </w:r>
      <w:r w:rsidR="00BD5B7E" w:rsidDel="0009547F">
        <w:rPr>
          <w:rFonts w:ascii="Verdana" w:hAnsi="Verdana"/>
          <w:sz w:val="20"/>
          <w:szCs w:val="20"/>
        </w:rPr>
        <w:t xml:space="preserve">Currently, they can seek to obtain coverage through a state high risk pool or a PCIP. </w:t>
      </w:r>
    </w:p>
    <w:p w14:paraId="60930138" w14:textId="77777777" w:rsidR="00E07866" w:rsidRDefault="00E07866" w:rsidP="001A27E0">
      <w:pPr>
        <w:rPr>
          <w:rFonts w:ascii="Verdana" w:hAnsi="Verdana"/>
          <w:i/>
          <w:color w:val="000090"/>
          <w:sz w:val="20"/>
          <w:szCs w:val="20"/>
        </w:rPr>
      </w:pPr>
    </w:p>
    <w:p w14:paraId="02A2ACA5" w14:textId="77777777" w:rsidR="007C6706" w:rsidRDefault="000203DA" w:rsidP="00BD5B7E">
      <w:pPr>
        <w:rPr>
          <w:rFonts w:ascii="Verdana" w:hAnsi="Verdana"/>
          <w:i/>
          <w:color w:val="000090"/>
          <w:sz w:val="20"/>
          <w:szCs w:val="20"/>
        </w:rPr>
      </w:pPr>
      <w:r>
        <w:rPr>
          <w:rFonts w:ascii="Verdana" w:hAnsi="Verdana"/>
          <w:i/>
          <w:color w:val="000090"/>
          <w:sz w:val="20"/>
          <w:szCs w:val="20"/>
        </w:rPr>
        <w:t xml:space="preserve">Now: </w:t>
      </w:r>
      <w:r w:rsidR="00BD5B7E">
        <w:rPr>
          <w:rFonts w:ascii="Verdana" w:hAnsi="Verdana"/>
          <w:i/>
          <w:color w:val="000090"/>
          <w:sz w:val="20"/>
          <w:szCs w:val="20"/>
        </w:rPr>
        <w:t>State High Risk Pools</w:t>
      </w:r>
    </w:p>
    <w:p w14:paraId="35C5ED9D" w14:textId="77777777" w:rsidR="00BD5B7E" w:rsidRDefault="00BD5B7E" w:rsidP="007C7CA8">
      <w:pPr>
        <w:rPr>
          <w:rFonts w:ascii="Verdana" w:hAnsi="Verdana"/>
          <w:sz w:val="20"/>
          <w:szCs w:val="20"/>
        </w:rPr>
      </w:pPr>
    </w:p>
    <w:p w14:paraId="0539784F" w14:textId="77777777" w:rsidR="00D11AB0" w:rsidRPr="00D11AB0" w:rsidRDefault="00B140A0" w:rsidP="00D11AB0">
      <w:pPr>
        <w:rPr>
          <w:rFonts w:ascii="Verdana" w:hAnsi="Verdana"/>
          <w:sz w:val="20"/>
          <w:szCs w:val="20"/>
        </w:rPr>
      </w:pPr>
      <w:r>
        <w:rPr>
          <w:rFonts w:ascii="Verdana" w:hAnsi="Verdana"/>
          <w:sz w:val="20"/>
          <w:szCs w:val="20"/>
        </w:rPr>
        <w:t>S</w:t>
      </w:r>
      <w:r w:rsidR="00D11AB0">
        <w:rPr>
          <w:rFonts w:ascii="Verdana" w:hAnsi="Verdana"/>
          <w:sz w:val="20"/>
          <w:szCs w:val="20"/>
        </w:rPr>
        <w:t xml:space="preserve">tates created </w:t>
      </w:r>
      <w:r>
        <w:rPr>
          <w:rFonts w:ascii="Verdana" w:hAnsi="Verdana"/>
          <w:sz w:val="20"/>
          <w:szCs w:val="20"/>
        </w:rPr>
        <w:t xml:space="preserve">high risk pools </w:t>
      </w:r>
      <w:r w:rsidR="00263C59">
        <w:rPr>
          <w:rFonts w:ascii="Verdana" w:hAnsi="Verdana"/>
          <w:sz w:val="20"/>
          <w:szCs w:val="20"/>
        </w:rPr>
        <w:t xml:space="preserve">as a means to provide </w:t>
      </w:r>
      <w:r w:rsidR="00D11AB0">
        <w:rPr>
          <w:rFonts w:ascii="Verdana" w:hAnsi="Verdana"/>
          <w:sz w:val="20"/>
          <w:szCs w:val="20"/>
        </w:rPr>
        <w:t xml:space="preserve">health insurance </w:t>
      </w:r>
      <w:r w:rsidR="00263C59">
        <w:rPr>
          <w:rFonts w:ascii="Verdana" w:hAnsi="Verdana"/>
          <w:sz w:val="20"/>
          <w:szCs w:val="20"/>
        </w:rPr>
        <w:t xml:space="preserve">for otherwise “uninsurable” individuals. </w:t>
      </w:r>
      <w:r w:rsidR="00D11AB0">
        <w:rPr>
          <w:rFonts w:ascii="Verdana" w:hAnsi="Verdana"/>
          <w:sz w:val="20"/>
          <w:szCs w:val="20"/>
        </w:rPr>
        <w:t>State law determines eligibility, premiums (usually as a percentage of the average premium), benefits and any cost sharing (like deductibles or co-pays)</w:t>
      </w:r>
      <w:r w:rsidR="003D0ACA">
        <w:rPr>
          <w:rFonts w:ascii="Verdana" w:hAnsi="Verdana"/>
          <w:sz w:val="20"/>
          <w:szCs w:val="20"/>
        </w:rPr>
        <w:t>, and these factors vary among states</w:t>
      </w:r>
      <w:r w:rsidR="00D11AB0">
        <w:rPr>
          <w:rFonts w:ascii="Verdana" w:hAnsi="Verdana"/>
          <w:sz w:val="20"/>
          <w:szCs w:val="20"/>
        </w:rPr>
        <w:t>.</w:t>
      </w:r>
      <w:r w:rsidR="003D0ACA">
        <w:rPr>
          <w:rStyle w:val="EndnoteReference"/>
          <w:rFonts w:ascii="Verdana" w:hAnsi="Verdana"/>
          <w:sz w:val="20"/>
          <w:szCs w:val="20"/>
        </w:rPr>
        <w:endnoteReference w:id="6"/>
      </w:r>
      <w:r w:rsidR="003D0ACA">
        <w:rPr>
          <w:rFonts w:ascii="Verdana" w:hAnsi="Verdana"/>
          <w:sz w:val="20"/>
          <w:szCs w:val="20"/>
        </w:rPr>
        <w:t xml:space="preserve"> </w:t>
      </w:r>
      <w:r w:rsidR="005544F0">
        <w:rPr>
          <w:rFonts w:ascii="Verdana" w:hAnsi="Verdana"/>
          <w:sz w:val="20"/>
          <w:szCs w:val="20"/>
        </w:rPr>
        <w:t>H</w:t>
      </w:r>
      <w:r w:rsidR="00D11AB0" w:rsidRPr="00D11AB0">
        <w:rPr>
          <w:rFonts w:ascii="Verdana" w:hAnsi="Verdana"/>
          <w:sz w:val="20"/>
          <w:szCs w:val="20"/>
        </w:rPr>
        <w:t>igh risk pools are typically directed at ensuring availability rather than affordability, and are therefore more expensive than insurance for an individual without a preexisting condition – usually 125-200% of an average premium.</w:t>
      </w:r>
      <w:r w:rsidR="00D11AB0">
        <w:rPr>
          <w:rStyle w:val="EndnoteReference"/>
          <w:rFonts w:ascii="Verdana" w:hAnsi="Verdana"/>
          <w:sz w:val="20"/>
          <w:szCs w:val="20"/>
        </w:rPr>
        <w:endnoteReference w:id="7"/>
      </w:r>
      <w:r w:rsidR="00D11AB0" w:rsidRPr="00D11AB0">
        <w:rPr>
          <w:rFonts w:ascii="Verdana" w:hAnsi="Verdana"/>
          <w:sz w:val="20"/>
          <w:szCs w:val="20"/>
        </w:rPr>
        <w:t xml:space="preserve"> Despite these higher premiums, every state high risk pool reports that annual expenses exceed revenues from enrollees, necessitating subsidies from the state government to continue operations.</w:t>
      </w:r>
      <w:r w:rsidR="00D11AB0">
        <w:rPr>
          <w:rStyle w:val="EndnoteReference"/>
          <w:rFonts w:ascii="Verdana" w:hAnsi="Verdana"/>
          <w:sz w:val="20"/>
          <w:szCs w:val="20"/>
        </w:rPr>
        <w:endnoteReference w:id="8"/>
      </w:r>
      <w:r w:rsidR="00D11AB0" w:rsidRPr="00D11AB0">
        <w:rPr>
          <w:rFonts w:ascii="Verdana" w:hAnsi="Verdana"/>
          <w:sz w:val="20"/>
          <w:szCs w:val="20"/>
        </w:rPr>
        <w:t xml:space="preserve"> Additionally, many high risk pools have an exclusionary period during which preexisting conditions are not covered.</w:t>
      </w:r>
      <w:r w:rsidR="00D11AB0">
        <w:rPr>
          <w:rStyle w:val="EndnoteReference"/>
          <w:rFonts w:ascii="Verdana" w:hAnsi="Verdana"/>
          <w:sz w:val="20"/>
          <w:szCs w:val="20"/>
        </w:rPr>
        <w:endnoteReference w:id="9"/>
      </w:r>
    </w:p>
    <w:p w14:paraId="08C911C5" w14:textId="77777777" w:rsidR="00A36CFF" w:rsidRDefault="00A36CFF" w:rsidP="007C7CA8">
      <w:pPr>
        <w:rPr>
          <w:rFonts w:ascii="Verdana" w:hAnsi="Verdana"/>
          <w:sz w:val="20"/>
          <w:szCs w:val="20"/>
        </w:rPr>
      </w:pPr>
    </w:p>
    <w:p w14:paraId="24BB6658" w14:textId="77777777" w:rsidR="00A36CFF" w:rsidRDefault="00A36CFF" w:rsidP="007C7CA8">
      <w:pPr>
        <w:rPr>
          <w:rFonts w:ascii="Verdana" w:hAnsi="Verdana"/>
          <w:sz w:val="20"/>
          <w:szCs w:val="20"/>
        </w:rPr>
      </w:pPr>
      <w:r w:rsidRPr="00A36CFF">
        <w:rPr>
          <w:rFonts w:ascii="Verdana" w:hAnsi="Verdana"/>
          <w:b/>
          <w:sz w:val="20"/>
          <w:szCs w:val="20"/>
        </w:rPr>
        <w:t>Facts on State High Risk Pools</w:t>
      </w:r>
      <w:r>
        <w:rPr>
          <w:rFonts w:ascii="Verdana" w:hAnsi="Verdana"/>
          <w:sz w:val="20"/>
          <w:szCs w:val="20"/>
        </w:rPr>
        <w:t>:</w:t>
      </w:r>
    </w:p>
    <w:p w14:paraId="44520527" w14:textId="77777777" w:rsidR="00A36CFF" w:rsidRDefault="00A36CFF" w:rsidP="007C7CA8">
      <w:pPr>
        <w:rPr>
          <w:rFonts w:ascii="Verdana" w:hAnsi="Verdana"/>
          <w:sz w:val="20"/>
          <w:szCs w:val="20"/>
        </w:rPr>
      </w:pPr>
    </w:p>
    <w:p w14:paraId="199C7213" w14:textId="77777777" w:rsidR="00A36CFF" w:rsidRDefault="00E817AF" w:rsidP="00A36CFF">
      <w:pPr>
        <w:pStyle w:val="ListParagraph"/>
        <w:numPr>
          <w:ilvl w:val="0"/>
          <w:numId w:val="7"/>
        </w:numPr>
        <w:rPr>
          <w:rFonts w:ascii="Verdana" w:hAnsi="Verdana"/>
          <w:sz w:val="20"/>
          <w:szCs w:val="20"/>
        </w:rPr>
      </w:pPr>
      <w:r w:rsidRPr="00A36CFF">
        <w:rPr>
          <w:rFonts w:ascii="Verdana" w:hAnsi="Verdana"/>
          <w:sz w:val="20"/>
          <w:szCs w:val="20"/>
        </w:rPr>
        <w:t>Prior to the ACA, thirty-five states had already created high risk pools</w:t>
      </w:r>
      <w:r w:rsidR="00A36CFF">
        <w:rPr>
          <w:rFonts w:ascii="Verdana" w:hAnsi="Verdana"/>
          <w:sz w:val="20"/>
          <w:szCs w:val="20"/>
        </w:rPr>
        <w:t>.</w:t>
      </w:r>
      <w:r w:rsidR="00A36CFF">
        <w:rPr>
          <w:rStyle w:val="EndnoteReference"/>
          <w:rFonts w:ascii="Verdana" w:hAnsi="Verdana"/>
          <w:sz w:val="20"/>
          <w:szCs w:val="20"/>
        </w:rPr>
        <w:endnoteReference w:id="10"/>
      </w:r>
    </w:p>
    <w:p w14:paraId="21D112A1" w14:textId="77777777" w:rsidR="00A36CFF" w:rsidRDefault="00A36CFF" w:rsidP="00A36CFF">
      <w:pPr>
        <w:pStyle w:val="ListParagraph"/>
        <w:rPr>
          <w:rFonts w:ascii="Verdana" w:hAnsi="Verdana"/>
          <w:sz w:val="20"/>
          <w:szCs w:val="20"/>
        </w:rPr>
      </w:pPr>
    </w:p>
    <w:p w14:paraId="6CC46827" w14:textId="77777777" w:rsidR="00A36CFF" w:rsidRDefault="00A36CFF" w:rsidP="00A36CFF">
      <w:pPr>
        <w:pStyle w:val="ListParagraph"/>
        <w:numPr>
          <w:ilvl w:val="0"/>
          <w:numId w:val="7"/>
        </w:numPr>
        <w:rPr>
          <w:rFonts w:ascii="Verdana" w:hAnsi="Verdana"/>
          <w:sz w:val="20"/>
          <w:szCs w:val="20"/>
        </w:rPr>
      </w:pPr>
      <w:r>
        <w:rPr>
          <w:rFonts w:ascii="Verdana" w:hAnsi="Verdana"/>
          <w:sz w:val="20"/>
          <w:szCs w:val="20"/>
        </w:rPr>
        <w:t>A</w:t>
      </w:r>
      <w:r w:rsidR="00E817AF" w:rsidRPr="00A36CFF">
        <w:rPr>
          <w:rFonts w:ascii="Verdana" w:hAnsi="Verdana"/>
          <w:sz w:val="20"/>
          <w:szCs w:val="20"/>
        </w:rPr>
        <w:t>s of 2012, these pools covered approximately 226,000 people.</w:t>
      </w:r>
      <w:r w:rsidR="007C0E74">
        <w:rPr>
          <w:rStyle w:val="EndnoteReference"/>
          <w:rFonts w:ascii="Verdana" w:hAnsi="Verdana"/>
          <w:sz w:val="20"/>
          <w:szCs w:val="20"/>
        </w:rPr>
        <w:endnoteReference w:id="11"/>
      </w:r>
      <w:r w:rsidR="00E817AF" w:rsidRPr="00A36CFF">
        <w:rPr>
          <w:rFonts w:ascii="Verdana" w:hAnsi="Verdana"/>
          <w:sz w:val="20"/>
          <w:szCs w:val="20"/>
        </w:rPr>
        <w:t xml:space="preserve"> </w:t>
      </w:r>
    </w:p>
    <w:p w14:paraId="45DC8CD0" w14:textId="77777777" w:rsidR="00A36CFF" w:rsidRPr="00A36CFF" w:rsidRDefault="00A36CFF" w:rsidP="00A36CFF">
      <w:pPr>
        <w:pStyle w:val="ListParagraph"/>
        <w:rPr>
          <w:rFonts w:ascii="Verdana" w:hAnsi="Verdana"/>
          <w:sz w:val="20"/>
          <w:szCs w:val="20"/>
        </w:rPr>
      </w:pPr>
    </w:p>
    <w:p w14:paraId="3912F017" w14:textId="77777777" w:rsidR="00A36CFF" w:rsidRDefault="00E817AF" w:rsidP="00A36CFF">
      <w:pPr>
        <w:pStyle w:val="ListParagraph"/>
        <w:numPr>
          <w:ilvl w:val="0"/>
          <w:numId w:val="7"/>
        </w:numPr>
        <w:rPr>
          <w:rFonts w:ascii="Verdana" w:hAnsi="Verdana"/>
          <w:sz w:val="20"/>
          <w:szCs w:val="20"/>
        </w:rPr>
      </w:pPr>
      <w:r w:rsidRPr="00A36CFF">
        <w:rPr>
          <w:rFonts w:ascii="Verdana" w:hAnsi="Verdana"/>
          <w:sz w:val="20"/>
          <w:szCs w:val="20"/>
        </w:rPr>
        <w:t>Seventeen states of these states permit ADAP to enroll clients in the high risk pool.</w:t>
      </w:r>
      <w:r w:rsidR="00A36CFF">
        <w:rPr>
          <w:rStyle w:val="EndnoteReference"/>
          <w:rFonts w:ascii="Verdana" w:hAnsi="Verdana"/>
          <w:sz w:val="20"/>
          <w:szCs w:val="20"/>
        </w:rPr>
        <w:endnoteReference w:id="12"/>
      </w:r>
      <w:r w:rsidR="005151FE" w:rsidRPr="00A36CFF">
        <w:rPr>
          <w:rFonts w:ascii="Verdana" w:hAnsi="Verdana"/>
          <w:sz w:val="20"/>
          <w:szCs w:val="20"/>
        </w:rPr>
        <w:t xml:space="preserve"> </w:t>
      </w:r>
    </w:p>
    <w:p w14:paraId="269164BE" w14:textId="77777777" w:rsidR="00A36CFF" w:rsidRPr="00A36CFF" w:rsidRDefault="00A36CFF" w:rsidP="00A36CFF">
      <w:pPr>
        <w:pStyle w:val="ListParagraph"/>
        <w:rPr>
          <w:rFonts w:ascii="Verdana" w:hAnsi="Verdana"/>
          <w:sz w:val="20"/>
          <w:szCs w:val="20"/>
        </w:rPr>
      </w:pPr>
    </w:p>
    <w:p w14:paraId="32D2A451" w14:textId="77777777" w:rsidR="00A36CFF" w:rsidRDefault="00E817AF" w:rsidP="00A36CFF">
      <w:pPr>
        <w:pStyle w:val="ListParagraph"/>
        <w:numPr>
          <w:ilvl w:val="0"/>
          <w:numId w:val="7"/>
        </w:numPr>
        <w:rPr>
          <w:rFonts w:ascii="Verdana" w:hAnsi="Verdana"/>
          <w:sz w:val="20"/>
          <w:szCs w:val="20"/>
        </w:rPr>
      </w:pPr>
      <w:r w:rsidRPr="00A36CFF">
        <w:rPr>
          <w:rFonts w:ascii="Verdana" w:hAnsi="Verdana"/>
          <w:sz w:val="20"/>
          <w:szCs w:val="20"/>
        </w:rPr>
        <w:t xml:space="preserve">Currently, about 7,000 ADAP clients have been enrolled at </w:t>
      </w:r>
      <w:r w:rsidR="00D36F63" w:rsidRPr="00A36CFF">
        <w:rPr>
          <w:rFonts w:ascii="Verdana" w:hAnsi="Verdana"/>
          <w:sz w:val="20"/>
          <w:szCs w:val="20"/>
        </w:rPr>
        <w:t>an average cost of $8,000 per person.</w:t>
      </w:r>
      <w:r w:rsidR="00EE27F0">
        <w:rPr>
          <w:rStyle w:val="EndnoteReference"/>
          <w:rFonts w:ascii="Verdana" w:hAnsi="Verdana"/>
          <w:sz w:val="20"/>
          <w:szCs w:val="20"/>
        </w:rPr>
        <w:endnoteReference w:id="13"/>
      </w:r>
      <w:r w:rsidR="00D36F63" w:rsidRPr="00A36CFF">
        <w:rPr>
          <w:rFonts w:ascii="Verdana" w:hAnsi="Verdana"/>
          <w:sz w:val="20"/>
          <w:szCs w:val="20"/>
        </w:rPr>
        <w:t xml:space="preserve"> </w:t>
      </w:r>
    </w:p>
    <w:p w14:paraId="55F6825A" w14:textId="77777777" w:rsidR="00A36CFF" w:rsidRPr="00A36CFF" w:rsidRDefault="00A36CFF" w:rsidP="00A36CFF">
      <w:pPr>
        <w:pStyle w:val="ListParagraph"/>
        <w:rPr>
          <w:rFonts w:ascii="Verdana" w:hAnsi="Verdana"/>
          <w:sz w:val="20"/>
          <w:szCs w:val="20"/>
        </w:rPr>
      </w:pPr>
    </w:p>
    <w:p w14:paraId="6CF3A91C" w14:textId="57E2FEAB" w:rsidR="00E817AF" w:rsidRPr="00A36CFF" w:rsidRDefault="00D36F63" w:rsidP="00A36CFF">
      <w:pPr>
        <w:rPr>
          <w:rFonts w:ascii="Verdana" w:hAnsi="Verdana"/>
          <w:sz w:val="20"/>
          <w:szCs w:val="20"/>
        </w:rPr>
      </w:pPr>
      <w:r w:rsidRPr="00A36CFF">
        <w:rPr>
          <w:rFonts w:ascii="Verdana" w:hAnsi="Verdana"/>
          <w:sz w:val="20"/>
          <w:szCs w:val="20"/>
        </w:rPr>
        <w:t>Although many state high risk pools have expressed an intention to close once the ACA is fully implemented, high risk pools have the option to remain open</w:t>
      </w:r>
      <w:r w:rsidR="00F1392E" w:rsidRPr="00A36CFF">
        <w:rPr>
          <w:rFonts w:ascii="Verdana" w:hAnsi="Verdana"/>
          <w:sz w:val="20"/>
          <w:szCs w:val="20"/>
        </w:rPr>
        <w:t>, either temporarily to ease the ACA transition or permanently by offering the plan through an exchange or as a reinsurance program</w:t>
      </w:r>
      <w:r w:rsidRPr="00A36CFF">
        <w:rPr>
          <w:rFonts w:ascii="Verdana" w:hAnsi="Verdana"/>
          <w:sz w:val="20"/>
          <w:szCs w:val="20"/>
        </w:rPr>
        <w:t xml:space="preserve">. </w:t>
      </w:r>
      <w:r w:rsidR="003D428B" w:rsidRPr="00A36CFF">
        <w:rPr>
          <w:rFonts w:ascii="Verdana" w:hAnsi="Verdana"/>
          <w:sz w:val="20"/>
          <w:szCs w:val="20"/>
        </w:rPr>
        <w:t>Reinsurance is a program in which a third party (in this case, the state) agrees to indemnify an insurer for costs that exceed a certain amount – essentially, insurance for insurance plans.</w:t>
      </w:r>
      <w:r w:rsidR="003D428B">
        <w:rPr>
          <w:rStyle w:val="EndnoteReference"/>
          <w:rFonts w:ascii="Verdana" w:hAnsi="Verdana"/>
          <w:sz w:val="20"/>
          <w:szCs w:val="20"/>
        </w:rPr>
        <w:endnoteReference w:id="14"/>
      </w:r>
    </w:p>
    <w:p w14:paraId="5AAB7F05" w14:textId="77777777" w:rsidR="00E817AF" w:rsidRDefault="00E817AF" w:rsidP="007C7CA8">
      <w:pPr>
        <w:rPr>
          <w:rFonts w:ascii="Verdana" w:hAnsi="Verdana"/>
          <w:sz w:val="20"/>
          <w:szCs w:val="20"/>
        </w:rPr>
      </w:pPr>
    </w:p>
    <w:p w14:paraId="0034D9BB" w14:textId="77777777" w:rsidR="00F1392E" w:rsidRDefault="000203DA" w:rsidP="00F1392E">
      <w:pPr>
        <w:rPr>
          <w:rFonts w:ascii="Verdana" w:hAnsi="Verdana"/>
          <w:i/>
          <w:color w:val="000090"/>
          <w:sz w:val="20"/>
          <w:szCs w:val="20"/>
        </w:rPr>
      </w:pPr>
      <w:r>
        <w:rPr>
          <w:rFonts w:ascii="Verdana" w:hAnsi="Verdana"/>
          <w:i/>
          <w:color w:val="000090"/>
          <w:sz w:val="20"/>
          <w:szCs w:val="20"/>
        </w:rPr>
        <w:t xml:space="preserve">Now: </w:t>
      </w:r>
      <w:r w:rsidR="00F1392E">
        <w:rPr>
          <w:rFonts w:ascii="Verdana" w:hAnsi="Verdana"/>
          <w:i/>
          <w:color w:val="000090"/>
          <w:sz w:val="20"/>
          <w:szCs w:val="20"/>
        </w:rPr>
        <w:t>Preexisting Condition Insurance Pools</w:t>
      </w:r>
    </w:p>
    <w:p w14:paraId="06919887" w14:textId="77777777" w:rsidR="00F1392E" w:rsidRDefault="00F1392E" w:rsidP="007C7CA8">
      <w:pPr>
        <w:rPr>
          <w:rFonts w:ascii="Verdana" w:hAnsi="Verdana"/>
          <w:sz w:val="20"/>
          <w:szCs w:val="20"/>
        </w:rPr>
      </w:pPr>
    </w:p>
    <w:p w14:paraId="1A95325D" w14:textId="77777777" w:rsidR="00A36CFF" w:rsidRDefault="00F1392E" w:rsidP="007C7CA8">
      <w:pPr>
        <w:rPr>
          <w:rFonts w:ascii="Verdana" w:hAnsi="Verdana"/>
          <w:sz w:val="20"/>
          <w:szCs w:val="20"/>
        </w:rPr>
      </w:pPr>
      <w:r>
        <w:rPr>
          <w:rFonts w:ascii="Verdana" w:hAnsi="Verdana"/>
          <w:sz w:val="20"/>
          <w:szCs w:val="20"/>
        </w:rPr>
        <w:t xml:space="preserve">PCIPs were </w:t>
      </w:r>
      <w:r w:rsidR="00941421">
        <w:rPr>
          <w:rFonts w:ascii="Verdana" w:hAnsi="Verdana"/>
          <w:sz w:val="20"/>
          <w:szCs w:val="20"/>
        </w:rPr>
        <w:t xml:space="preserve">established by Section 1101 of the </w:t>
      </w:r>
      <w:r w:rsidR="003D428B">
        <w:rPr>
          <w:rFonts w:ascii="Verdana" w:hAnsi="Verdana"/>
          <w:sz w:val="20"/>
          <w:szCs w:val="20"/>
        </w:rPr>
        <w:t>ACA</w:t>
      </w:r>
      <w:r>
        <w:rPr>
          <w:rFonts w:ascii="Verdana" w:hAnsi="Verdana"/>
          <w:sz w:val="20"/>
          <w:szCs w:val="20"/>
        </w:rPr>
        <w:t>.</w:t>
      </w:r>
      <w:r w:rsidR="00A6348E">
        <w:rPr>
          <w:rStyle w:val="EndnoteReference"/>
          <w:rFonts w:ascii="Verdana" w:hAnsi="Verdana"/>
          <w:sz w:val="20"/>
          <w:szCs w:val="20"/>
        </w:rPr>
        <w:endnoteReference w:id="15"/>
      </w:r>
      <w:r>
        <w:rPr>
          <w:rFonts w:ascii="Verdana" w:hAnsi="Verdana"/>
          <w:sz w:val="20"/>
          <w:szCs w:val="20"/>
        </w:rPr>
        <w:t xml:space="preserve"> Like existing state high risk pools, PCIPs are intended to</w:t>
      </w:r>
      <w:r w:rsidR="00941421">
        <w:rPr>
          <w:rFonts w:ascii="Verdana" w:hAnsi="Verdana"/>
          <w:sz w:val="20"/>
          <w:szCs w:val="20"/>
        </w:rPr>
        <w:t xml:space="preserve"> provide health insurance for people who cannot purchase insurance in the private market. States were offered the choice of running a PCIP themselves, or allowing the federal government to administer a PCIP instead. </w:t>
      </w:r>
    </w:p>
    <w:p w14:paraId="68B9C7ED" w14:textId="77777777" w:rsidR="00A36CFF" w:rsidRDefault="00A36CFF" w:rsidP="007C7CA8">
      <w:pPr>
        <w:rPr>
          <w:rFonts w:ascii="Verdana" w:hAnsi="Verdana"/>
          <w:sz w:val="20"/>
          <w:szCs w:val="20"/>
        </w:rPr>
      </w:pPr>
    </w:p>
    <w:p w14:paraId="3A37B437" w14:textId="77777777" w:rsidR="00A36CFF" w:rsidRPr="00A36CFF" w:rsidRDefault="00A36CFF" w:rsidP="007C7CA8">
      <w:pPr>
        <w:rPr>
          <w:rFonts w:ascii="Verdana" w:hAnsi="Verdana"/>
          <w:b/>
          <w:sz w:val="20"/>
          <w:szCs w:val="20"/>
        </w:rPr>
      </w:pPr>
      <w:r w:rsidRPr="00A36CFF">
        <w:rPr>
          <w:rFonts w:ascii="Verdana" w:hAnsi="Verdana"/>
          <w:b/>
          <w:sz w:val="20"/>
          <w:szCs w:val="20"/>
        </w:rPr>
        <w:t>Facts on PCIPs:</w:t>
      </w:r>
    </w:p>
    <w:p w14:paraId="06096D5D" w14:textId="77777777" w:rsidR="00A36CFF" w:rsidRDefault="00A36CFF" w:rsidP="007C7CA8">
      <w:pPr>
        <w:rPr>
          <w:rFonts w:ascii="Verdana" w:hAnsi="Verdana"/>
          <w:sz w:val="20"/>
          <w:szCs w:val="20"/>
        </w:rPr>
      </w:pPr>
    </w:p>
    <w:p w14:paraId="32B531EC" w14:textId="77777777" w:rsidR="00A36CFF" w:rsidRDefault="00941421" w:rsidP="00A36CFF">
      <w:pPr>
        <w:pStyle w:val="ListParagraph"/>
        <w:numPr>
          <w:ilvl w:val="0"/>
          <w:numId w:val="8"/>
        </w:numPr>
        <w:rPr>
          <w:rFonts w:ascii="Verdana" w:hAnsi="Verdana"/>
          <w:sz w:val="20"/>
          <w:szCs w:val="20"/>
        </w:rPr>
      </w:pPr>
      <w:r w:rsidRPr="00A36CFF">
        <w:rPr>
          <w:rFonts w:ascii="Verdana" w:hAnsi="Verdana"/>
          <w:sz w:val="20"/>
          <w:szCs w:val="20"/>
        </w:rPr>
        <w:t>Currently, twenty-seven states administer their own PCIPs</w:t>
      </w:r>
      <w:r w:rsidR="00A36CFF">
        <w:rPr>
          <w:rFonts w:ascii="Verdana" w:hAnsi="Verdana"/>
          <w:sz w:val="20"/>
          <w:szCs w:val="20"/>
        </w:rPr>
        <w:t xml:space="preserve">.  </w:t>
      </w:r>
    </w:p>
    <w:p w14:paraId="6C48F9DB" w14:textId="77777777" w:rsidR="00A36CFF" w:rsidRDefault="00A36CFF" w:rsidP="00A36CFF">
      <w:pPr>
        <w:pStyle w:val="ListParagraph"/>
        <w:rPr>
          <w:rFonts w:ascii="Verdana" w:hAnsi="Verdana"/>
          <w:sz w:val="20"/>
          <w:szCs w:val="20"/>
        </w:rPr>
      </w:pPr>
    </w:p>
    <w:p w14:paraId="46A63F91" w14:textId="77777777" w:rsidR="00A36CFF" w:rsidRDefault="00A36CFF" w:rsidP="00A36CFF">
      <w:pPr>
        <w:pStyle w:val="ListParagraph"/>
        <w:numPr>
          <w:ilvl w:val="0"/>
          <w:numId w:val="8"/>
        </w:numPr>
        <w:rPr>
          <w:rFonts w:ascii="Verdana" w:hAnsi="Verdana"/>
          <w:sz w:val="20"/>
          <w:szCs w:val="20"/>
        </w:rPr>
      </w:pPr>
      <w:r>
        <w:rPr>
          <w:rFonts w:ascii="Verdana" w:hAnsi="Verdana"/>
          <w:sz w:val="20"/>
          <w:szCs w:val="20"/>
        </w:rPr>
        <w:t>The federal government administers the</w:t>
      </w:r>
      <w:r w:rsidR="00941421" w:rsidRPr="00A36CFF">
        <w:rPr>
          <w:rFonts w:ascii="Verdana" w:hAnsi="Verdana"/>
          <w:sz w:val="20"/>
          <w:szCs w:val="20"/>
        </w:rPr>
        <w:t xml:space="preserve"> remaining twenty-three (plus the District of Columbia).</w:t>
      </w:r>
      <w:r w:rsidR="00EE27F0">
        <w:rPr>
          <w:rStyle w:val="EndnoteReference"/>
          <w:rFonts w:ascii="Verdana" w:hAnsi="Verdana"/>
          <w:sz w:val="20"/>
          <w:szCs w:val="20"/>
        </w:rPr>
        <w:endnoteReference w:id="16"/>
      </w:r>
      <w:r w:rsidR="00941421" w:rsidRPr="00A36CFF">
        <w:rPr>
          <w:rFonts w:ascii="Verdana" w:hAnsi="Verdana"/>
          <w:sz w:val="20"/>
          <w:szCs w:val="20"/>
        </w:rPr>
        <w:t xml:space="preserve"> </w:t>
      </w:r>
    </w:p>
    <w:p w14:paraId="72E18500" w14:textId="77777777" w:rsidR="00A36CFF" w:rsidRPr="00A36CFF" w:rsidRDefault="00A36CFF" w:rsidP="00A36CFF">
      <w:pPr>
        <w:pStyle w:val="ListParagraph"/>
        <w:rPr>
          <w:rFonts w:ascii="Verdana" w:hAnsi="Verdana"/>
          <w:sz w:val="20"/>
          <w:szCs w:val="20"/>
        </w:rPr>
      </w:pPr>
    </w:p>
    <w:p w14:paraId="50B83D58" w14:textId="77777777" w:rsidR="00A36CFF" w:rsidRDefault="00A36CFF" w:rsidP="00A36CFF">
      <w:pPr>
        <w:pStyle w:val="ListParagraph"/>
        <w:numPr>
          <w:ilvl w:val="0"/>
          <w:numId w:val="8"/>
        </w:numPr>
        <w:rPr>
          <w:rFonts w:ascii="Verdana" w:hAnsi="Verdana"/>
          <w:sz w:val="20"/>
          <w:szCs w:val="20"/>
        </w:rPr>
      </w:pPr>
      <w:r w:rsidRPr="00B6175A">
        <w:rPr>
          <w:rFonts w:ascii="Verdana" w:hAnsi="Verdana"/>
          <w:sz w:val="20"/>
          <w:szCs w:val="20"/>
        </w:rPr>
        <w:t>More than 107,000 people are currently enrolled in the PCIP program.</w:t>
      </w:r>
      <w:r>
        <w:rPr>
          <w:rStyle w:val="EndnoteReference"/>
          <w:rFonts w:ascii="Verdana" w:hAnsi="Verdana"/>
          <w:sz w:val="20"/>
          <w:szCs w:val="20"/>
        </w:rPr>
        <w:endnoteReference w:id="17"/>
      </w:r>
      <w:r w:rsidRPr="00B6175A">
        <w:rPr>
          <w:rFonts w:ascii="Verdana" w:hAnsi="Verdana"/>
          <w:sz w:val="20"/>
          <w:szCs w:val="20"/>
        </w:rPr>
        <w:t xml:space="preserve"> </w:t>
      </w:r>
    </w:p>
    <w:p w14:paraId="47164BFC" w14:textId="77777777" w:rsidR="00A36CFF" w:rsidRPr="00A36CFF" w:rsidRDefault="00A36CFF" w:rsidP="00A36CFF">
      <w:pPr>
        <w:pStyle w:val="ListParagraph"/>
        <w:rPr>
          <w:rFonts w:ascii="Verdana" w:hAnsi="Verdana"/>
          <w:sz w:val="20"/>
          <w:szCs w:val="20"/>
        </w:rPr>
      </w:pPr>
    </w:p>
    <w:p w14:paraId="3D6DD56B" w14:textId="77777777" w:rsidR="00A36CFF" w:rsidRPr="00A36CFF" w:rsidRDefault="00A36CFF" w:rsidP="00A36CFF">
      <w:pPr>
        <w:pStyle w:val="ListParagraph"/>
        <w:numPr>
          <w:ilvl w:val="0"/>
          <w:numId w:val="8"/>
        </w:numPr>
        <w:rPr>
          <w:rFonts w:ascii="Verdana" w:hAnsi="Verdana"/>
          <w:sz w:val="20"/>
          <w:szCs w:val="20"/>
        </w:rPr>
      </w:pPr>
      <w:r w:rsidRPr="00B6175A">
        <w:rPr>
          <w:rFonts w:ascii="Verdana" w:hAnsi="Verdana"/>
          <w:sz w:val="20"/>
          <w:szCs w:val="20"/>
        </w:rPr>
        <w:t xml:space="preserve">Twenty-three states have permitted ADAP to enroll patients in PCIPs, totaling </w:t>
      </w:r>
      <w:r w:rsidR="00BF24AE">
        <w:rPr>
          <w:rFonts w:ascii="Verdana" w:hAnsi="Verdana"/>
          <w:sz w:val="20"/>
          <w:szCs w:val="20"/>
        </w:rPr>
        <w:t>approximately</w:t>
      </w:r>
      <w:r w:rsidR="00BF24AE" w:rsidRPr="00B6175A">
        <w:rPr>
          <w:rFonts w:ascii="Verdana" w:hAnsi="Verdana"/>
          <w:sz w:val="20"/>
          <w:szCs w:val="20"/>
        </w:rPr>
        <w:t xml:space="preserve"> </w:t>
      </w:r>
      <w:r w:rsidRPr="00B6175A">
        <w:rPr>
          <w:rFonts w:ascii="Verdana" w:hAnsi="Verdana"/>
          <w:sz w:val="20"/>
          <w:szCs w:val="20"/>
        </w:rPr>
        <w:t>4,700 clients at an average cost of $6,188 each.</w:t>
      </w:r>
      <w:r>
        <w:rPr>
          <w:rStyle w:val="EndnoteReference"/>
          <w:rFonts w:ascii="Verdana" w:hAnsi="Verdana"/>
          <w:sz w:val="20"/>
          <w:szCs w:val="20"/>
        </w:rPr>
        <w:endnoteReference w:id="18"/>
      </w:r>
    </w:p>
    <w:p w14:paraId="39A13FAA" w14:textId="77777777" w:rsidR="00A36CFF" w:rsidRDefault="00A36CFF" w:rsidP="00A36CFF">
      <w:pPr>
        <w:rPr>
          <w:rFonts w:ascii="Verdana" w:hAnsi="Verdana"/>
          <w:sz w:val="20"/>
          <w:szCs w:val="20"/>
        </w:rPr>
      </w:pPr>
    </w:p>
    <w:p w14:paraId="7A1435C5" w14:textId="3A50D95D" w:rsidR="00CB3819" w:rsidRPr="00A36CFF" w:rsidRDefault="00941421" w:rsidP="00A36CFF">
      <w:pPr>
        <w:rPr>
          <w:rFonts w:ascii="Verdana" w:hAnsi="Verdana"/>
          <w:sz w:val="20"/>
          <w:szCs w:val="20"/>
        </w:rPr>
      </w:pPr>
      <w:r w:rsidRPr="00A36CFF">
        <w:rPr>
          <w:rFonts w:ascii="Verdana" w:hAnsi="Verdana"/>
          <w:sz w:val="20"/>
          <w:szCs w:val="20"/>
        </w:rPr>
        <w:t xml:space="preserve">Unlike state high risk pools, the PCIP program was created with a specified amount of funding ($5 billion) and </w:t>
      </w:r>
      <w:r w:rsidR="005544F0">
        <w:rPr>
          <w:rFonts w:ascii="Verdana" w:hAnsi="Verdana"/>
          <w:sz w:val="20"/>
          <w:szCs w:val="20"/>
        </w:rPr>
        <w:t xml:space="preserve">an </w:t>
      </w:r>
      <w:r w:rsidRPr="00A36CFF">
        <w:rPr>
          <w:rFonts w:ascii="Verdana" w:hAnsi="Verdana"/>
          <w:sz w:val="20"/>
          <w:szCs w:val="20"/>
        </w:rPr>
        <w:t>expiration date (January 1</w:t>
      </w:r>
      <w:r w:rsidRPr="00A36CFF">
        <w:rPr>
          <w:rFonts w:ascii="Verdana" w:hAnsi="Verdana"/>
          <w:sz w:val="20"/>
          <w:szCs w:val="20"/>
          <w:vertAlign w:val="superscript"/>
        </w:rPr>
        <w:t>st</w:t>
      </w:r>
      <w:r w:rsidRPr="00A36CFF">
        <w:rPr>
          <w:rFonts w:ascii="Verdana" w:hAnsi="Verdana"/>
          <w:sz w:val="20"/>
          <w:szCs w:val="20"/>
        </w:rPr>
        <w:t>, 2014).</w:t>
      </w:r>
      <w:r w:rsidR="00EE27F0">
        <w:rPr>
          <w:rStyle w:val="EndnoteReference"/>
          <w:rFonts w:ascii="Verdana" w:hAnsi="Verdana"/>
          <w:sz w:val="20"/>
          <w:szCs w:val="20"/>
        </w:rPr>
        <w:endnoteReference w:id="19"/>
      </w:r>
      <w:r w:rsidRPr="00A36CFF">
        <w:rPr>
          <w:rFonts w:ascii="Verdana" w:hAnsi="Verdana"/>
          <w:sz w:val="20"/>
          <w:szCs w:val="20"/>
        </w:rPr>
        <w:t xml:space="preserve"> Also unlike state high risk pools, PCIPs</w:t>
      </w:r>
      <w:r w:rsidR="00FE5CD3" w:rsidRPr="00A36CFF">
        <w:rPr>
          <w:rFonts w:ascii="Verdana" w:hAnsi="Verdana"/>
          <w:sz w:val="20"/>
          <w:szCs w:val="20"/>
        </w:rPr>
        <w:t xml:space="preserve"> may not have exclusion or waiting periods, and beneficiaries may not pay more than $6,250 out-of-pocket annually.</w:t>
      </w:r>
      <w:r w:rsidR="009251D5">
        <w:rPr>
          <w:rStyle w:val="EndnoteReference"/>
          <w:rFonts w:ascii="Verdana" w:hAnsi="Verdana"/>
          <w:sz w:val="20"/>
          <w:szCs w:val="20"/>
        </w:rPr>
        <w:endnoteReference w:id="20"/>
      </w:r>
      <w:r w:rsidRPr="00A36CFF">
        <w:rPr>
          <w:rFonts w:ascii="Verdana" w:hAnsi="Verdana"/>
          <w:sz w:val="20"/>
          <w:szCs w:val="20"/>
        </w:rPr>
        <w:t xml:space="preserve"> </w:t>
      </w:r>
      <w:r w:rsidR="0014538C" w:rsidRPr="00A36CFF">
        <w:rPr>
          <w:rFonts w:ascii="Verdana" w:hAnsi="Verdana"/>
          <w:sz w:val="20"/>
          <w:szCs w:val="20"/>
        </w:rPr>
        <w:t>Although PCIPs are cheaper than high risk pools for ADAP clients, it should be noted that the average cost for all PCIP enrollees is significantly higher than those for high risk pools (</w:t>
      </w:r>
      <w:r w:rsidR="00423B9A" w:rsidRPr="00A36CFF">
        <w:rPr>
          <w:rFonts w:ascii="Verdana" w:hAnsi="Verdana"/>
          <w:sz w:val="20"/>
          <w:szCs w:val="20"/>
        </w:rPr>
        <w:t>about nine times higher per member per month).</w:t>
      </w:r>
      <w:r w:rsidR="00445CD8">
        <w:rPr>
          <w:rStyle w:val="EndnoteReference"/>
          <w:rFonts w:ascii="Verdana" w:hAnsi="Verdana"/>
          <w:sz w:val="20"/>
          <w:szCs w:val="20"/>
        </w:rPr>
        <w:endnoteReference w:id="21"/>
      </w:r>
      <w:r w:rsidR="00382211" w:rsidRPr="00A36CFF">
        <w:rPr>
          <w:rFonts w:ascii="Verdana" w:hAnsi="Verdana"/>
          <w:sz w:val="20"/>
          <w:szCs w:val="20"/>
        </w:rPr>
        <w:t xml:space="preserve"> Because the expiration date is set by federal law, PCIPs must close on January 1</w:t>
      </w:r>
      <w:r w:rsidR="00445CD8" w:rsidRPr="00A36CFF">
        <w:rPr>
          <w:rFonts w:ascii="Verdana" w:hAnsi="Verdana"/>
          <w:sz w:val="20"/>
          <w:szCs w:val="20"/>
        </w:rPr>
        <w:t>, 2014</w:t>
      </w:r>
      <w:r w:rsidR="00382211" w:rsidRPr="00A36CFF">
        <w:rPr>
          <w:rFonts w:ascii="Verdana" w:hAnsi="Verdana"/>
          <w:sz w:val="20"/>
          <w:szCs w:val="20"/>
        </w:rPr>
        <w:t>.</w:t>
      </w:r>
      <w:r w:rsidR="001E1841" w:rsidRPr="00A36CFF">
        <w:rPr>
          <w:rFonts w:ascii="Verdana" w:hAnsi="Verdana"/>
          <w:sz w:val="20"/>
          <w:szCs w:val="20"/>
        </w:rPr>
        <w:t xml:space="preserve"> </w:t>
      </w:r>
      <w:r w:rsidR="003D428B" w:rsidRPr="00A36CFF">
        <w:rPr>
          <w:rFonts w:ascii="Verdana" w:hAnsi="Verdana"/>
          <w:sz w:val="20"/>
          <w:szCs w:val="20"/>
        </w:rPr>
        <w:t xml:space="preserve">The Department of Health and Human Services </w:t>
      </w:r>
      <w:r w:rsidR="003D428B" w:rsidRPr="00A36CFF">
        <w:rPr>
          <w:rFonts w:ascii="Verdana" w:hAnsi="Verdana"/>
          <w:sz w:val="20"/>
          <w:szCs w:val="20"/>
        </w:rPr>
        <w:lastRenderedPageBreak/>
        <w:t xml:space="preserve">closed </w:t>
      </w:r>
      <w:r w:rsidR="001E1841" w:rsidRPr="00A36CFF">
        <w:rPr>
          <w:rFonts w:ascii="Verdana" w:hAnsi="Verdana"/>
          <w:sz w:val="20"/>
          <w:szCs w:val="20"/>
        </w:rPr>
        <w:t>enrollment</w:t>
      </w:r>
      <w:r w:rsidR="003D428B" w:rsidRPr="00A36CFF">
        <w:rPr>
          <w:rFonts w:ascii="Verdana" w:hAnsi="Verdana"/>
          <w:sz w:val="20"/>
          <w:szCs w:val="20"/>
        </w:rPr>
        <w:t xml:space="preserve"> on</w:t>
      </w:r>
      <w:r w:rsidR="00C36A93" w:rsidRPr="00A36CFF">
        <w:rPr>
          <w:rFonts w:ascii="Verdana" w:hAnsi="Verdana"/>
          <w:sz w:val="20"/>
          <w:szCs w:val="20"/>
        </w:rPr>
        <w:t xml:space="preserve"> February 16</w:t>
      </w:r>
      <w:r w:rsidR="003D428B" w:rsidRPr="00A36CFF">
        <w:rPr>
          <w:rFonts w:ascii="Verdana" w:hAnsi="Verdana"/>
          <w:sz w:val="20"/>
          <w:szCs w:val="20"/>
        </w:rPr>
        <w:t>, 2013</w:t>
      </w:r>
      <w:r w:rsidR="00C36A93" w:rsidRPr="00A36CFF">
        <w:rPr>
          <w:rFonts w:ascii="Verdana" w:hAnsi="Verdana"/>
          <w:sz w:val="20"/>
          <w:szCs w:val="20"/>
        </w:rPr>
        <w:t xml:space="preserve"> for federally operated PCIPs and March 2, 2013 for state operated PCIPs, in order to preserve existing funding.</w:t>
      </w:r>
      <w:r w:rsidR="00C36A93">
        <w:rPr>
          <w:rStyle w:val="EndnoteReference"/>
          <w:rFonts w:ascii="Verdana" w:hAnsi="Verdana"/>
          <w:sz w:val="20"/>
          <w:szCs w:val="20"/>
        </w:rPr>
        <w:endnoteReference w:id="22"/>
      </w:r>
      <w:r w:rsidR="00C36A93" w:rsidRPr="00A36CFF">
        <w:rPr>
          <w:rFonts w:ascii="Verdana" w:hAnsi="Verdana"/>
          <w:sz w:val="20"/>
          <w:szCs w:val="20"/>
        </w:rPr>
        <w:t xml:space="preserve"> </w:t>
      </w:r>
    </w:p>
    <w:p w14:paraId="745FBEAC" w14:textId="77777777" w:rsidR="00CB3819" w:rsidRDefault="00CB3819" w:rsidP="007C7CA8">
      <w:pPr>
        <w:rPr>
          <w:rFonts w:ascii="Verdana" w:hAnsi="Verdana"/>
          <w:sz w:val="20"/>
          <w:szCs w:val="20"/>
        </w:rPr>
      </w:pPr>
    </w:p>
    <w:p w14:paraId="1822D348" w14:textId="77777777" w:rsidR="007D1D72" w:rsidRDefault="003D428B" w:rsidP="007C7CA8">
      <w:pPr>
        <w:rPr>
          <w:rFonts w:ascii="Verdana" w:hAnsi="Verdana"/>
          <w:i/>
          <w:color w:val="000090"/>
          <w:sz w:val="20"/>
          <w:szCs w:val="20"/>
        </w:rPr>
      </w:pPr>
      <w:r>
        <w:rPr>
          <w:rFonts w:ascii="Verdana" w:hAnsi="Verdana"/>
          <w:i/>
          <w:color w:val="000090"/>
          <w:sz w:val="20"/>
          <w:szCs w:val="20"/>
        </w:rPr>
        <w:t xml:space="preserve">Later – 2014 and Beyond: </w:t>
      </w:r>
      <w:r w:rsidR="007D1D72">
        <w:rPr>
          <w:rFonts w:ascii="Verdana" w:hAnsi="Verdana"/>
          <w:i/>
          <w:color w:val="000090"/>
          <w:sz w:val="20"/>
          <w:szCs w:val="20"/>
        </w:rPr>
        <w:t>Health Insurance Exchanges</w:t>
      </w:r>
    </w:p>
    <w:p w14:paraId="0B10424F" w14:textId="77777777" w:rsidR="007D1D72" w:rsidRDefault="007D1D72" w:rsidP="007C7CA8">
      <w:pPr>
        <w:rPr>
          <w:rFonts w:ascii="Verdana" w:hAnsi="Verdana"/>
          <w:i/>
          <w:color w:val="000090"/>
          <w:sz w:val="20"/>
          <w:szCs w:val="20"/>
        </w:rPr>
      </w:pPr>
    </w:p>
    <w:p w14:paraId="258A8EDA" w14:textId="77777777" w:rsidR="007568E2" w:rsidRDefault="003D0ACA" w:rsidP="007C7CA8">
      <w:pPr>
        <w:rPr>
          <w:rFonts w:ascii="Verdana" w:hAnsi="Verdana"/>
          <w:sz w:val="20"/>
          <w:szCs w:val="20"/>
        </w:rPr>
      </w:pPr>
      <w:r w:rsidDel="0009547F">
        <w:rPr>
          <w:rFonts w:ascii="Verdana" w:hAnsi="Verdana"/>
          <w:sz w:val="20"/>
          <w:szCs w:val="20"/>
        </w:rPr>
        <w:t>After 2014, the prohibition on preexisting condition exclusions will allow some patients to enroll in an insurance plan offered by the newly-created insurance exchanges</w:t>
      </w:r>
      <w:r>
        <w:rPr>
          <w:rFonts w:ascii="Verdana" w:hAnsi="Verdana"/>
          <w:sz w:val="20"/>
          <w:szCs w:val="20"/>
        </w:rPr>
        <w:t xml:space="preserve">. </w:t>
      </w:r>
      <w:r w:rsidR="00C108BB">
        <w:rPr>
          <w:rFonts w:ascii="Verdana" w:hAnsi="Verdana"/>
          <w:sz w:val="20"/>
          <w:szCs w:val="20"/>
        </w:rPr>
        <w:t xml:space="preserve">Health insurance exchanges are special marketplaces where individuals and insurance companies </w:t>
      </w:r>
      <w:r w:rsidR="00382211">
        <w:rPr>
          <w:rFonts w:ascii="Verdana" w:hAnsi="Verdana"/>
          <w:sz w:val="20"/>
          <w:szCs w:val="20"/>
        </w:rPr>
        <w:t>will be able to</w:t>
      </w:r>
      <w:r w:rsidR="00C108BB">
        <w:rPr>
          <w:rFonts w:ascii="Verdana" w:hAnsi="Verdana"/>
          <w:sz w:val="20"/>
          <w:szCs w:val="20"/>
        </w:rPr>
        <w:t xml:space="preserve"> purchase health insurance. States may choose whether to administer the state exchange themselves, enter into a state-federal exchange partnership, or to allow the federal government to run the exchange. </w:t>
      </w:r>
    </w:p>
    <w:p w14:paraId="6ED32988" w14:textId="77777777" w:rsidR="007568E2" w:rsidRDefault="007568E2" w:rsidP="007C7CA8">
      <w:pPr>
        <w:rPr>
          <w:rFonts w:ascii="Verdana" w:hAnsi="Verdana"/>
          <w:sz w:val="20"/>
          <w:szCs w:val="20"/>
        </w:rPr>
      </w:pPr>
    </w:p>
    <w:p w14:paraId="35ED342D" w14:textId="682E6889" w:rsidR="007568E2" w:rsidRDefault="007568E2" w:rsidP="007568E2">
      <w:pPr>
        <w:rPr>
          <w:rFonts w:ascii="Verdana" w:hAnsi="Verdana"/>
          <w:b/>
          <w:sz w:val="20"/>
          <w:szCs w:val="20"/>
        </w:rPr>
      </w:pPr>
      <w:r>
        <w:rPr>
          <w:rFonts w:ascii="Verdana" w:hAnsi="Verdana"/>
          <w:b/>
          <w:sz w:val="20"/>
          <w:szCs w:val="20"/>
        </w:rPr>
        <w:t>Facts on Exchanges as of April 2013:</w:t>
      </w:r>
    </w:p>
    <w:p w14:paraId="67F7803B" w14:textId="77777777" w:rsidR="007568E2" w:rsidRDefault="007568E2" w:rsidP="007C7CA8">
      <w:pPr>
        <w:rPr>
          <w:rFonts w:ascii="Verdana" w:hAnsi="Verdana"/>
          <w:sz w:val="20"/>
          <w:szCs w:val="20"/>
        </w:rPr>
      </w:pPr>
    </w:p>
    <w:p w14:paraId="70419322" w14:textId="0CF45DE4" w:rsidR="007568E2" w:rsidRDefault="007568E2" w:rsidP="007568E2">
      <w:pPr>
        <w:pStyle w:val="ListParagraph"/>
        <w:numPr>
          <w:ilvl w:val="0"/>
          <w:numId w:val="12"/>
        </w:numPr>
        <w:rPr>
          <w:rFonts w:ascii="Verdana" w:hAnsi="Verdana"/>
          <w:sz w:val="20"/>
          <w:szCs w:val="20"/>
        </w:rPr>
      </w:pPr>
      <w:r w:rsidRPr="007568E2">
        <w:rPr>
          <w:rFonts w:ascii="Verdana" w:hAnsi="Verdana"/>
          <w:sz w:val="20"/>
          <w:szCs w:val="20"/>
        </w:rPr>
        <w:t>S</w:t>
      </w:r>
      <w:r w:rsidR="00C108BB" w:rsidRPr="007568E2">
        <w:rPr>
          <w:rFonts w:ascii="Verdana" w:hAnsi="Verdana"/>
          <w:sz w:val="20"/>
          <w:szCs w:val="20"/>
        </w:rPr>
        <w:t xml:space="preserve">eventeen states and </w:t>
      </w:r>
      <w:r>
        <w:rPr>
          <w:rFonts w:ascii="Verdana" w:hAnsi="Verdana"/>
          <w:sz w:val="20"/>
          <w:szCs w:val="20"/>
        </w:rPr>
        <w:t xml:space="preserve">the </w:t>
      </w:r>
      <w:r w:rsidR="00C108BB" w:rsidRPr="007568E2">
        <w:rPr>
          <w:rFonts w:ascii="Verdana" w:hAnsi="Verdana"/>
          <w:sz w:val="20"/>
          <w:szCs w:val="20"/>
        </w:rPr>
        <w:t>D</w:t>
      </w:r>
      <w:r>
        <w:rPr>
          <w:rFonts w:ascii="Verdana" w:hAnsi="Verdana"/>
          <w:sz w:val="20"/>
          <w:szCs w:val="20"/>
        </w:rPr>
        <w:t xml:space="preserve">istrict of </w:t>
      </w:r>
      <w:r w:rsidR="00C108BB" w:rsidRPr="007568E2">
        <w:rPr>
          <w:rFonts w:ascii="Verdana" w:hAnsi="Verdana"/>
          <w:sz w:val="20"/>
          <w:szCs w:val="20"/>
        </w:rPr>
        <w:t>C</w:t>
      </w:r>
      <w:r>
        <w:rPr>
          <w:rFonts w:ascii="Verdana" w:hAnsi="Verdana"/>
          <w:sz w:val="20"/>
          <w:szCs w:val="20"/>
        </w:rPr>
        <w:t>olumbia</w:t>
      </w:r>
      <w:r w:rsidR="00C108BB" w:rsidRPr="007568E2">
        <w:rPr>
          <w:rFonts w:ascii="Verdana" w:hAnsi="Verdana"/>
          <w:sz w:val="20"/>
          <w:szCs w:val="20"/>
        </w:rPr>
        <w:t xml:space="preserve"> in</w:t>
      </w:r>
      <w:r>
        <w:rPr>
          <w:rFonts w:ascii="Verdana" w:hAnsi="Verdana"/>
          <w:sz w:val="20"/>
          <w:szCs w:val="20"/>
        </w:rPr>
        <w:t>tend to run their own exchanges.</w:t>
      </w:r>
    </w:p>
    <w:p w14:paraId="5A53BBD0" w14:textId="77777777" w:rsidR="007568E2" w:rsidRDefault="007568E2" w:rsidP="007568E2">
      <w:pPr>
        <w:pStyle w:val="ListParagraph"/>
        <w:rPr>
          <w:rFonts w:ascii="Verdana" w:hAnsi="Verdana"/>
          <w:sz w:val="20"/>
          <w:szCs w:val="20"/>
        </w:rPr>
      </w:pPr>
    </w:p>
    <w:p w14:paraId="5B6A38B9" w14:textId="77777777" w:rsidR="007568E2" w:rsidRDefault="007568E2" w:rsidP="007568E2">
      <w:pPr>
        <w:pStyle w:val="ListParagraph"/>
        <w:numPr>
          <w:ilvl w:val="0"/>
          <w:numId w:val="12"/>
        </w:numPr>
        <w:rPr>
          <w:rFonts w:ascii="Verdana" w:hAnsi="Verdana"/>
          <w:sz w:val="20"/>
          <w:szCs w:val="20"/>
        </w:rPr>
      </w:pPr>
      <w:r>
        <w:rPr>
          <w:rFonts w:ascii="Verdana" w:hAnsi="Verdana"/>
          <w:sz w:val="20"/>
          <w:szCs w:val="20"/>
        </w:rPr>
        <w:t>S</w:t>
      </w:r>
      <w:r w:rsidR="00C108BB" w:rsidRPr="007568E2">
        <w:rPr>
          <w:rFonts w:ascii="Verdana" w:hAnsi="Verdana"/>
          <w:sz w:val="20"/>
          <w:szCs w:val="20"/>
        </w:rPr>
        <w:t>even states ha</w:t>
      </w:r>
      <w:r>
        <w:rPr>
          <w:rFonts w:ascii="Verdana" w:hAnsi="Verdana"/>
          <w:sz w:val="20"/>
          <w:szCs w:val="20"/>
        </w:rPr>
        <w:t>ve entered into partnerships.</w:t>
      </w:r>
    </w:p>
    <w:p w14:paraId="7C63EE9A" w14:textId="77777777" w:rsidR="007568E2" w:rsidRPr="007568E2" w:rsidRDefault="007568E2" w:rsidP="007568E2">
      <w:pPr>
        <w:pStyle w:val="ListParagraph"/>
        <w:rPr>
          <w:rFonts w:ascii="Verdana" w:hAnsi="Verdana"/>
          <w:sz w:val="20"/>
          <w:szCs w:val="20"/>
        </w:rPr>
      </w:pPr>
    </w:p>
    <w:p w14:paraId="44FFE7F7" w14:textId="77777777" w:rsidR="007568E2" w:rsidRDefault="007568E2" w:rsidP="007568E2">
      <w:pPr>
        <w:pStyle w:val="ListParagraph"/>
        <w:numPr>
          <w:ilvl w:val="0"/>
          <w:numId w:val="12"/>
        </w:numPr>
        <w:rPr>
          <w:rFonts w:ascii="Verdana" w:hAnsi="Verdana"/>
          <w:sz w:val="20"/>
          <w:szCs w:val="20"/>
        </w:rPr>
      </w:pPr>
      <w:r>
        <w:rPr>
          <w:rFonts w:ascii="Verdana" w:hAnsi="Verdana"/>
          <w:sz w:val="20"/>
          <w:szCs w:val="20"/>
        </w:rPr>
        <w:t>T</w:t>
      </w:r>
      <w:r w:rsidR="00C108BB" w:rsidRPr="007568E2">
        <w:rPr>
          <w:rFonts w:ascii="Verdana" w:hAnsi="Verdana"/>
          <w:sz w:val="20"/>
          <w:szCs w:val="20"/>
        </w:rPr>
        <w:t>wenty-six states have defaulted to a federally-run exchange.</w:t>
      </w:r>
      <w:r w:rsidR="00382211" w:rsidRPr="007568E2">
        <w:rPr>
          <w:rFonts w:ascii="Verdana" w:hAnsi="Verdana"/>
          <w:sz w:val="20"/>
          <w:szCs w:val="20"/>
        </w:rPr>
        <w:t xml:space="preserve"> </w:t>
      </w:r>
    </w:p>
    <w:p w14:paraId="542F759C" w14:textId="77777777" w:rsidR="007568E2" w:rsidRPr="007568E2" w:rsidRDefault="007568E2" w:rsidP="007568E2">
      <w:pPr>
        <w:pStyle w:val="ListParagraph"/>
        <w:rPr>
          <w:rFonts w:ascii="Verdana" w:hAnsi="Verdana"/>
          <w:sz w:val="20"/>
          <w:szCs w:val="20"/>
        </w:rPr>
      </w:pPr>
    </w:p>
    <w:p w14:paraId="314A363B" w14:textId="77777777" w:rsidR="007568E2" w:rsidRDefault="00382211" w:rsidP="007568E2">
      <w:pPr>
        <w:pStyle w:val="ListParagraph"/>
        <w:numPr>
          <w:ilvl w:val="0"/>
          <w:numId w:val="12"/>
        </w:numPr>
        <w:rPr>
          <w:rFonts w:ascii="Verdana" w:hAnsi="Verdana"/>
          <w:sz w:val="20"/>
          <w:szCs w:val="20"/>
        </w:rPr>
      </w:pPr>
      <w:r w:rsidRPr="007568E2">
        <w:rPr>
          <w:rFonts w:ascii="Verdana" w:hAnsi="Verdana"/>
          <w:sz w:val="20"/>
          <w:szCs w:val="20"/>
        </w:rPr>
        <w:t>Open enrollment for all states will begin in October</w:t>
      </w:r>
      <w:r w:rsidR="004D5B00" w:rsidRPr="007568E2">
        <w:rPr>
          <w:rFonts w:ascii="Verdana" w:hAnsi="Verdana"/>
          <w:sz w:val="20"/>
          <w:szCs w:val="20"/>
        </w:rPr>
        <w:t xml:space="preserve"> 2013</w:t>
      </w:r>
      <w:r w:rsidRPr="007568E2">
        <w:rPr>
          <w:rFonts w:ascii="Verdana" w:hAnsi="Verdana"/>
          <w:sz w:val="20"/>
          <w:szCs w:val="20"/>
        </w:rPr>
        <w:t xml:space="preserve">, and coverage will start </w:t>
      </w:r>
      <w:r w:rsidR="003D428B" w:rsidRPr="007568E2">
        <w:rPr>
          <w:rFonts w:ascii="Verdana" w:hAnsi="Verdana"/>
          <w:sz w:val="20"/>
          <w:szCs w:val="20"/>
        </w:rPr>
        <w:t>o</w:t>
      </w:r>
      <w:r w:rsidRPr="007568E2">
        <w:rPr>
          <w:rFonts w:ascii="Verdana" w:hAnsi="Verdana"/>
          <w:sz w:val="20"/>
          <w:szCs w:val="20"/>
        </w:rPr>
        <w:t xml:space="preserve">n January </w:t>
      </w:r>
      <w:r w:rsidR="003D428B" w:rsidRPr="007568E2">
        <w:rPr>
          <w:rFonts w:ascii="Verdana" w:hAnsi="Verdana"/>
          <w:sz w:val="20"/>
          <w:szCs w:val="20"/>
        </w:rPr>
        <w:t xml:space="preserve">1, </w:t>
      </w:r>
      <w:r w:rsidRPr="007568E2">
        <w:rPr>
          <w:rFonts w:ascii="Verdana" w:hAnsi="Verdana"/>
          <w:sz w:val="20"/>
          <w:szCs w:val="20"/>
        </w:rPr>
        <w:t>2014.</w:t>
      </w:r>
      <w:r w:rsidR="004D5B00">
        <w:rPr>
          <w:rStyle w:val="EndnoteReference"/>
          <w:rFonts w:ascii="Verdana" w:hAnsi="Verdana"/>
          <w:sz w:val="20"/>
          <w:szCs w:val="20"/>
        </w:rPr>
        <w:endnoteReference w:id="23"/>
      </w:r>
      <w:r w:rsidR="00C108BB" w:rsidRPr="007568E2">
        <w:rPr>
          <w:rFonts w:ascii="Verdana" w:hAnsi="Verdana"/>
          <w:sz w:val="20"/>
          <w:szCs w:val="20"/>
        </w:rPr>
        <w:t xml:space="preserve"> </w:t>
      </w:r>
    </w:p>
    <w:p w14:paraId="6CE055F5" w14:textId="77777777" w:rsidR="007568E2" w:rsidRPr="007568E2" w:rsidRDefault="007568E2" w:rsidP="007568E2">
      <w:pPr>
        <w:pStyle w:val="ListParagraph"/>
        <w:rPr>
          <w:rFonts w:ascii="Verdana" w:hAnsi="Verdana"/>
          <w:sz w:val="20"/>
          <w:szCs w:val="20"/>
        </w:rPr>
      </w:pPr>
    </w:p>
    <w:p w14:paraId="09CC7950" w14:textId="070F313B" w:rsidR="007D1D72" w:rsidRPr="007568E2" w:rsidRDefault="00EE6796" w:rsidP="007568E2">
      <w:pPr>
        <w:rPr>
          <w:rFonts w:ascii="Verdana" w:hAnsi="Verdana"/>
          <w:sz w:val="20"/>
          <w:szCs w:val="20"/>
        </w:rPr>
      </w:pPr>
      <w:r w:rsidRPr="007568E2">
        <w:rPr>
          <w:rFonts w:ascii="Verdana" w:hAnsi="Verdana"/>
          <w:sz w:val="20"/>
          <w:szCs w:val="20"/>
        </w:rPr>
        <w:t>I</w:t>
      </w:r>
      <w:r w:rsidR="00C108BB" w:rsidRPr="007568E2">
        <w:rPr>
          <w:rFonts w:ascii="Verdana" w:hAnsi="Verdana"/>
          <w:sz w:val="20"/>
          <w:szCs w:val="20"/>
        </w:rPr>
        <w:t>nsurance plans</w:t>
      </w:r>
      <w:r w:rsidR="008E53CE" w:rsidRPr="007568E2">
        <w:rPr>
          <w:rFonts w:ascii="Verdana" w:hAnsi="Verdana"/>
          <w:sz w:val="20"/>
          <w:szCs w:val="20"/>
        </w:rPr>
        <w:t xml:space="preserve"> me</w:t>
      </w:r>
      <w:r w:rsidR="002E6E2A" w:rsidRPr="007568E2">
        <w:rPr>
          <w:rFonts w:ascii="Verdana" w:hAnsi="Verdana"/>
          <w:sz w:val="20"/>
          <w:szCs w:val="20"/>
        </w:rPr>
        <w:t>e</w:t>
      </w:r>
      <w:r w:rsidR="008E53CE" w:rsidRPr="007568E2">
        <w:rPr>
          <w:rFonts w:ascii="Verdana" w:hAnsi="Verdana"/>
          <w:sz w:val="20"/>
          <w:szCs w:val="20"/>
        </w:rPr>
        <w:t>t</w:t>
      </w:r>
      <w:r w:rsidRPr="007568E2">
        <w:rPr>
          <w:rFonts w:ascii="Verdana" w:hAnsi="Verdana"/>
          <w:sz w:val="20"/>
          <w:szCs w:val="20"/>
        </w:rPr>
        <w:t>ing</w:t>
      </w:r>
      <w:r w:rsidR="008E53CE" w:rsidRPr="007568E2">
        <w:rPr>
          <w:rFonts w:ascii="Verdana" w:hAnsi="Verdana"/>
          <w:sz w:val="20"/>
          <w:szCs w:val="20"/>
        </w:rPr>
        <w:t xml:space="preserve"> the requirements to be</w:t>
      </w:r>
      <w:r w:rsidR="00C108BB" w:rsidRPr="007568E2">
        <w:rPr>
          <w:rFonts w:ascii="Verdana" w:hAnsi="Verdana"/>
          <w:sz w:val="20"/>
          <w:szCs w:val="20"/>
        </w:rPr>
        <w:t xml:space="preserve"> offered on the exchange must include Essential Health Benefits (EHBs) specified by the federal government and will have annual cost-sharing limits </w:t>
      </w:r>
      <w:r w:rsidR="00382211" w:rsidRPr="007568E2">
        <w:rPr>
          <w:rFonts w:ascii="Verdana" w:hAnsi="Verdana"/>
          <w:sz w:val="20"/>
          <w:szCs w:val="20"/>
        </w:rPr>
        <w:t>based</w:t>
      </w:r>
      <w:r w:rsidR="00FD57B5" w:rsidRPr="007568E2">
        <w:rPr>
          <w:rFonts w:ascii="Verdana" w:hAnsi="Verdana"/>
          <w:sz w:val="20"/>
          <w:szCs w:val="20"/>
        </w:rPr>
        <w:t xml:space="preserve"> on the limits for health savings accounts</w:t>
      </w:r>
      <w:r w:rsidR="00382211" w:rsidRPr="007568E2">
        <w:rPr>
          <w:rFonts w:ascii="Verdana" w:hAnsi="Verdana"/>
          <w:sz w:val="20"/>
          <w:szCs w:val="20"/>
        </w:rPr>
        <w:t xml:space="preserve"> (currently about $6,000 for individuals and $12,000 for families).</w:t>
      </w:r>
      <w:r w:rsidR="00FD57B5">
        <w:rPr>
          <w:rStyle w:val="EndnoteReference"/>
          <w:rFonts w:ascii="Verdana" w:hAnsi="Verdana"/>
          <w:sz w:val="20"/>
          <w:szCs w:val="20"/>
        </w:rPr>
        <w:endnoteReference w:id="24"/>
      </w:r>
      <w:r w:rsidRPr="007568E2">
        <w:rPr>
          <w:rFonts w:ascii="Verdana" w:hAnsi="Verdana"/>
          <w:sz w:val="20"/>
          <w:szCs w:val="20"/>
        </w:rPr>
        <w:t xml:space="preserve"> </w:t>
      </w:r>
      <w:r w:rsidR="00382211" w:rsidRPr="007568E2">
        <w:rPr>
          <w:rFonts w:ascii="Verdana" w:hAnsi="Verdana"/>
          <w:sz w:val="20"/>
          <w:szCs w:val="20"/>
        </w:rPr>
        <w:t xml:space="preserve">Additionally, insurers may not charge increased premiums based on health status (except for age). People with income greater than 100%, but less than 400%, of </w:t>
      </w:r>
      <w:r w:rsidRPr="007568E2">
        <w:rPr>
          <w:rFonts w:ascii="Verdana" w:hAnsi="Verdana"/>
          <w:sz w:val="20"/>
          <w:szCs w:val="20"/>
        </w:rPr>
        <w:t xml:space="preserve">the FPL </w:t>
      </w:r>
      <w:r w:rsidR="00382211" w:rsidRPr="007568E2">
        <w:rPr>
          <w:rFonts w:ascii="Verdana" w:hAnsi="Verdana"/>
          <w:sz w:val="20"/>
          <w:szCs w:val="20"/>
        </w:rPr>
        <w:t>will qualify to receive government subsidies for purchasing an exchange plan.</w:t>
      </w:r>
      <w:r w:rsidR="00930607">
        <w:rPr>
          <w:rStyle w:val="EndnoteReference"/>
          <w:rFonts w:ascii="Verdana" w:hAnsi="Verdana"/>
          <w:sz w:val="20"/>
          <w:szCs w:val="20"/>
        </w:rPr>
        <w:endnoteReference w:id="25"/>
      </w:r>
    </w:p>
    <w:p w14:paraId="0456B6C7" w14:textId="77777777" w:rsidR="00BD5B7E" w:rsidRDefault="00BD5B7E" w:rsidP="007C7CA8">
      <w:pPr>
        <w:rPr>
          <w:rFonts w:ascii="Verdana" w:hAnsi="Verdana"/>
          <w:sz w:val="20"/>
          <w:szCs w:val="20"/>
        </w:rPr>
      </w:pPr>
    </w:p>
    <w:p w14:paraId="0DAE9310" w14:textId="77777777" w:rsidR="005544F0" w:rsidRDefault="005544F0" w:rsidP="005544F0">
      <w:pPr>
        <w:rPr>
          <w:rFonts w:ascii="Verdana" w:hAnsi="Verdana"/>
          <w:i/>
          <w:color w:val="000090"/>
          <w:sz w:val="20"/>
          <w:szCs w:val="20"/>
        </w:rPr>
      </w:pPr>
      <w:r>
        <w:rPr>
          <w:rFonts w:ascii="Verdana" w:hAnsi="Verdana"/>
          <w:i/>
          <w:color w:val="000090"/>
          <w:sz w:val="20"/>
          <w:szCs w:val="20"/>
        </w:rPr>
        <w:t>Later – 2014 and Beyond: Medicaid</w:t>
      </w:r>
    </w:p>
    <w:p w14:paraId="7D4C8B13" w14:textId="77777777" w:rsidR="005544F0" w:rsidRDefault="005544F0" w:rsidP="005544F0">
      <w:pPr>
        <w:rPr>
          <w:rFonts w:ascii="Verdana" w:hAnsi="Verdana"/>
          <w:i/>
          <w:color w:val="000090"/>
          <w:sz w:val="20"/>
          <w:szCs w:val="20"/>
        </w:rPr>
      </w:pPr>
    </w:p>
    <w:p w14:paraId="7C8055EE" w14:textId="77777777" w:rsidR="005544F0" w:rsidRDefault="005544F0" w:rsidP="005544F0">
      <w:pPr>
        <w:rPr>
          <w:rFonts w:ascii="Verdana" w:hAnsi="Verdana"/>
          <w:sz w:val="20"/>
          <w:szCs w:val="20"/>
        </w:rPr>
      </w:pPr>
      <w:r>
        <w:rPr>
          <w:rFonts w:ascii="Verdana" w:hAnsi="Verdana"/>
          <w:sz w:val="20"/>
          <w:szCs w:val="20"/>
        </w:rPr>
        <w:t>Beginning in January 2014, states will the option to expand their Medicaid coverage to all individuals under 138% of the federal poverty level (FPL).</w:t>
      </w:r>
      <w:r>
        <w:rPr>
          <w:rStyle w:val="EndnoteReference"/>
          <w:rFonts w:ascii="Verdana" w:hAnsi="Verdana"/>
          <w:sz w:val="20"/>
          <w:szCs w:val="20"/>
        </w:rPr>
        <w:endnoteReference w:id="26"/>
      </w:r>
      <w:r>
        <w:rPr>
          <w:rFonts w:ascii="Verdana" w:hAnsi="Verdana"/>
          <w:sz w:val="20"/>
          <w:szCs w:val="20"/>
        </w:rPr>
        <w:t xml:space="preserve"> </w:t>
      </w:r>
    </w:p>
    <w:p w14:paraId="626D7961" w14:textId="77777777" w:rsidR="005544F0" w:rsidRDefault="005544F0" w:rsidP="005544F0">
      <w:pPr>
        <w:rPr>
          <w:rFonts w:ascii="Verdana" w:hAnsi="Verdana"/>
          <w:sz w:val="20"/>
          <w:szCs w:val="20"/>
        </w:rPr>
      </w:pPr>
    </w:p>
    <w:p w14:paraId="164F67DB" w14:textId="77777777" w:rsidR="00612C3F" w:rsidRDefault="00612C3F" w:rsidP="005544F0">
      <w:pPr>
        <w:rPr>
          <w:rFonts w:ascii="Verdana" w:hAnsi="Verdana"/>
          <w:b/>
          <w:sz w:val="20"/>
          <w:szCs w:val="20"/>
        </w:rPr>
      </w:pPr>
    </w:p>
    <w:p w14:paraId="7F4FF9D9" w14:textId="77777777" w:rsidR="00612C3F" w:rsidRDefault="00612C3F" w:rsidP="005544F0">
      <w:pPr>
        <w:rPr>
          <w:rFonts w:ascii="Verdana" w:hAnsi="Verdana"/>
          <w:b/>
          <w:sz w:val="20"/>
          <w:szCs w:val="20"/>
        </w:rPr>
      </w:pPr>
    </w:p>
    <w:p w14:paraId="3A30EA00" w14:textId="77777777" w:rsidR="00612C3F" w:rsidRDefault="00612C3F" w:rsidP="005544F0">
      <w:pPr>
        <w:rPr>
          <w:rFonts w:ascii="Verdana" w:hAnsi="Verdana"/>
          <w:b/>
          <w:sz w:val="20"/>
          <w:szCs w:val="20"/>
        </w:rPr>
      </w:pPr>
    </w:p>
    <w:p w14:paraId="1CD66A10" w14:textId="77777777" w:rsidR="005544F0" w:rsidRDefault="005544F0" w:rsidP="005544F0">
      <w:pPr>
        <w:rPr>
          <w:rFonts w:ascii="Verdana" w:hAnsi="Verdana"/>
          <w:b/>
          <w:sz w:val="20"/>
          <w:szCs w:val="20"/>
        </w:rPr>
      </w:pPr>
      <w:r>
        <w:rPr>
          <w:rFonts w:ascii="Verdana" w:hAnsi="Verdana"/>
          <w:b/>
          <w:sz w:val="20"/>
          <w:szCs w:val="20"/>
        </w:rPr>
        <w:lastRenderedPageBreak/>
        <w:t>Facts on Medicaid Expansion as of April 2013:</w:t>
      </w:r>
    </w:p>
    <w:p w14:paraId="14BDF4E7" w14:textId="77777777" w:rsidR="007568E2" w:rsidRDefault="007568E2" w:rsidP="005544F0">
      <w:pPr>
        <w:rPr>
          <w:rFonts w:ascii="Verdana" w:hAnsi="Verdana"/>
          <w:b/>
          <w:sz w:val="20"/>
          <w:szCs w:val="20"/>
        </w:rPr>
      </w:pPr>
    </w:p>
    <w:p w14:paraId="3615BE56" w14:textId="77777777" w:rsidR="005544F0" w:rsidRDefault="005544F0" w:rsidP="005544F0">
      <w:pPr>
        <w:pStyle w:val="ListParagraph"/>
        <w:numPr>
          <w:ilvl w:val="0"/>
          <w:numId w:val="9"/>
        </w:numPr>
        <w:rPr>
          <w:rFonts w:ascii="Verdana" w:hAnsi="Verdana"/>
          <w:sz w:val="20"/>
          <w:szCs w:val="20"/>
        </w:rPr>
      </w:pPr>
      <w:r w:rsidRPr="00696C00">
        <w:rPr>
          <w:rFonts w:ascii="Verdana" w:hAnsi="Verdana"/>
          <w:sz w:val="20"/>
          <w:szCs w:val="20"/>
        </w:rPr>
        <w:t xml:space="preserve">Twenty-five states and the District of Columbia </w:t>
      </w:r>
      <w:r>
        <w:rPr>
          <w:rFonts w:ascii="Verdana" w:hAnsi="Verdana"/>
          <w:sz w:val="20"/>
          <w:szCs w:val="20"/>
        </w:rPr>
        <w:t>intend</w:t>
      </w:r>
      <w:r w:rsidRPr="00696C00">
        <w:rPr>
          <w:rFonts w:ascii="Verdana" w:hAnsi="Verdana"/>
          <w:sz w:val="20"/>
          <w:szCs w:val="20"/>
        </w:rPr>
        <w:t xml:space="preserve"> to participate in Medicaid expansion</w:t>
      </w:r>
      <w:r>
        <w:rPr>
          <w:rFonts w:ascii="Verdana" w:hAnsi="Verdana"/>
          <w:sz w:val="20"/>
          <w:szCs w:val="20"/>
        </w:rPr>
        <w:t>.</w:t>
      </w:r>
    </w:p>
    <w:p w14:paraId="7B33C4A7" w14:textId="77777777" w:rsidR="005544F0" w:rsidRDefault="005544F0" w:rsidP="005544F0">
      <w:pPr>
        <w:pStyle w:val="ListParagraph"/>
        <w:rPr>
          <w:rFonts w:ascii="Verdana" w:hAnsi="Verdana"/>
          <w:sz w:val="20"/>
          <w:szCs w:val="20"/>
        </w:rPr>
      </w:pPr>
    </w:p>
    <w:p w14:paraId="0C0C2B97" w14:textId="77777777" w:rsidR="005544F0" w:rsidRDefault="005544F0" w:rsidP="005544F0">
      <w:pPr>
        <w:pStyle w:val="ListParagraph"/>
        <w:numPr>
          <w:ilvl w:val="0"/>
          <w:numId w:val="9"/>
        </w:numPr>
        <w:rPr>
          <w:rFonts w:ascii="Verdana" w:hAnsi="Verdana"/>
          <w:sz w:val="20"/>
          <w:szCs w:val="20"/>
        </w:rPr>
      </w:pPr>
      <w:r>
        <w:rPr>
          <w:rFonts w:ascii="Verdana" w:hAnsi="Verdana"/>
          <w:sz w:val="20"/>
          <w:szCs w:val="20"/>
        </w:rPr>
        <w:t>F</w:t>
      </w:r>
      <w:r w:rsidRPr="00696C00">
        <w:rPr>
          <w:rFonts w:ascii="Verdana" w:hAnsi="Verdana"/>
          <w:sz w:val="20"/>
          <w:szCs w:val="20"/>
        </w:rPr>
        <w:t xml:space="preserve">ifteen </w:t>
      </w:r>
      <w:r>
        <w:rPr>
          <w:rFonts w:ascii="Verdana" w:hAnsi="Verdana"/>
          <w:sz w:val="20"/>
          <w:szCs w:val="20"/>
        </w:rPr>
        <w:t xml:space="preserve">states have declined.  </w:t>
      </w:r>
    </w:p>
    <w:p w14:paraId="49F0E924" w14:textId="77777777" w:rsidR="005544F0" w:rsidRDefault="005544F0" w:rsidP="005544F0">
      <w:pPr>
        <w:pStyle w:val="ListParagraph"/>
        <w:rPr>
          <w:rFonts w:ascii="Verdana" w:hAnsi="Verdana"/>
          <w:sz w:val="20"/>
          <w:szCs w:val="20"/>
        </w:rPr>
      </w:pPr>
    </w:p>
    <w:p w14:paraId="3A2CE724" w14:textId="77777777" w:rsidR="005544F0" w:rsidRDefault="005544F0" w:rsidP="005544F0">
      <w:pPr>
        <w:pStyle w:val="ListParagraph"/>
        <w:numPr>
          <w:ilvl w:val="0"/>
          <w:numId w:val="9"/>
        </w:numPr>
        <w:rPr>
          <w:rFonts w:ascii="Verdana" w:hAnsi="Verdana"/>
          <w:sz w:val="20"/>
          <w:szCs w:val="20"/>
        </w:rPr>
      </w:pPr>
      <w:r>
        <w:rPr>
          <w:rFonts w:ascii="Verdana" w:hAnsi="Verdana"/>
          <w:sz w:val="20"/>
          <w:szCs w:val="20"/>
        </w:rPr>
        <w:t>T</w:t>
      </w:r>
      <w:r w:rsidRPr="00696C00">
        <w:rPr>
          <w:rFonts w:ascii="Verdana" w:hAnsi="Verdana"/>
          <w:sz w:val="20"/>
          <w:szCs w:val="20"/>
        </w:rPr>
        <w:t>he remaining ten states are currently undecided.</w:t>
      </w:r>
      <w:r>
        <w:rPr>
          <w:rStyle w:val="EndnoteReference"/>
          <w:rFonts w:ascii="Verdana" w:hAnsi="Verdana"/>
          <w:sz w:val="20"/>
          <w:szCs w:val="20"/>
        </w:rPr>
        <w:endnoteReference w:id="27"/>
      </w:r>
      <w:r w:rsidRPr="00696C00">
        <w:rPr>
          <w:rFonts w:ascii="Verdana" w:hAnsi="Verdana"/>
          <w:sz w:val="20"/>
          <w:szCs w:val="20"/>
        </w:rPr>
        <w:t xml:space="preserve"> </w:t>
      </w:r>
    </w:p>
    <w:p w14:paraId="15C2B6BE" w14:textId="77777777" w:rsidR="007568E2" w:rsidRDefault="007568E2" w:rsidP="005544F0">
      <w:pPr>
        <w:rPr>
          <w:rFonts w:ascii="Verdana" w:hAnsi="Verdana"/>
          <w:sz w:val="20"/>
          <w:szCs w:val="20"/>
        </w:rPr>
      </w:pPr>
    </w:p>
    <w:p w14:paraId="67AC1A7B" w14:textId="77777777" w:rsidR="005544F0" w:rsidRPr="003D0ACA" w:rsidRDefault="005544F0" w:rsidP="005544F0">
      <w:pPr>
        <w:rPr>
          <w:rFonts w:ascii="Verdana" w:hAnsi="Verdana"/>
          <w:sz w:val="20"/>
          <w:szCs w:val="20"/>
        </w:rPr>
      </w:pPr>
      <w:r w:rsidRPr="003D0ACA">
        <w:rPr>
          <w:rFonts w:ascii="Verdana" w:hAnsi="Verdana"/>
          <w:sz w:val="20"/>
          <w:szCs w:val="20"/>
        </w:rPr>
        <w:t>Because Medicaid is aimed at affordability, cost sharing is typically minimal, and there are no premiums for individuals with incomes less than 150% of FPL.</w:t>
      </w:r>
      <w:r>
        <w:rPr>
          <w:rStyle w:val="EndnoteReference"/>
          <w:rFonts w:ascii="Verdana" w:hAnsi="Verdana"/>
          <w:sz w:val="20"/>
          <w:szCs w:val="20"/>
        </w:rPr>
        <w:endnoteReference w:id="28"/>
      </w:r>
      <w:r w:rsidRPr="003D0ACA">
        <w:rPr>
          <w:rFonts w:ascii="Verdana" w:hAnsi="Verdana"/>
          <w:sz w:val="20"/>
          <w:szCs w:val="20"/>
        </w:rPr>
        <w:t xml:space="preserve"> As of 2013 at least 7,376 ADAP clients were enrolled in Medicaid,</w:t>
      </w:r>
      <w:r>
        <w:rPr>
          <w:rStyle w:val="EndnoteReference"/>
          <w:rFonts w:ascii="Verdana" w:hAnsi="Verdana"/>
          <w:sz w:val="20"/>
          <w:szCs w:val="20"/>
        </w:rPr>
        <w:endnoteReference w:id="29"/>
      </w:r>
      <w:r w:rsidRPr="003D0ACA">
        <w:rPr>
          <w:rFonts w:ascii="Verdana" w:hAnsi="Verdana"/>
          <w:sz w:val="20"/>
          <w:szCs w:val="20"/>
        </w:rPr>
        <w:t xml:space="preserve"> and this number is likely to increase once Medicaid expansion begins. </w:t>
      </w:r>
    </w:p>
    <w:p w14:paraId="5080C8AF" w14:textId="77777777" w:rsidR="005544F0" w:rsidRDefault="005544F0" w:rsidP="007C7CA8">
      <w:pPr>
        <w:rPr>
          <w:rFonts w:ascii="Verdana" w:hAnsi="Verdana"/>
          <w:sz w:val="20"/>
          <w:szCs w:val="20"/>
        </w:rPr>
      </w:pPr>
    </w:p>
    <w:p w14:paraId="779FBFE8" w14:textId="77777777" w:rsidR="00352359" w:rsidRPr="006431D0" w:rsidRDefault="00352359" w:rsidP="00352359">
      <w:pPr>
        <w:rPr>
          <w:rFonts w:ascii="Verdana" w:hAnsi="Verdana"/>
          <w:b/>
          <w:color w:val="000090"/>
          <w:sz w:val="20"/>
          <w:szCs w:val="20"/>
        </w:rPr>
      </w:pPr>
      <w:r>
        <w:rPr>
          <w:rFonts w:ascii="Verdana" w:hAnsi="Verdana"/>
          <w:b/>
          <w:color w:val="000090"/>
          <w:sz w:val="20"/>
          <w:szCs w:val="20"/>
        </w:rPr>
        <w:t>Preexisting Condition Coverage Case Studies</w:t>
      </w:r>
    </w:p>
    <w:p w14:paraId="46921B6C" w14:textId="77777777" w:rsidR="00352359" w:rsidRDefault="00352359" w:rsidP="007C7CA8">
      <w:pPr>
        <w:rPr>
          <w:rFonts w:ascii="Verdana" w:hAnsi="Verdana"/>
          <w:sz w:val="20"/>
          <w:szCs w:val="20"/>
        </w:rPr>
      </w:pPr>
    </w:p>
    <w:p w14:paraId="6E32C6B0" w14:textId="77777777" w:rsidR="005544F0" w:rsidRDefault="00352359" w:rsidP="007C7CA8">
      <w:pPr>
        <w:rPr>
          <w:rFonts w:ascii="Verdana" w:hAnsi="Verdana"/>
          <w:sz w:val="20"/>
          <w:szCs w:val="20"/>
        </w:rPr>
      </w:pPr>
      <w:r>
        <w:rPr>
          <w:rFonts w:ascii="Verdana" w:hAnsi="Verdana"/>
          <w:sz w:val="20"/>
          <w:szCs w:val="20"/>
        </w:rPr>
        <w:t>The following case studies illustrate how individuals with preexisting conditions are currently covered and how they would be affected the 201</w:t>
      </w:r>
      <w:r w:rsidR="00CB3819">
        <w:rPr>
          <w:rFonts w:ascii="Verdana" w:hAnsi="Verdana"/>
          <w:sz w:val="20"/>
          <w:szCs w:val="20"/>
        </w:rPr>
        <w:t xml:space="preserve">4 transition. </w:t>
      </w:r>
    </w:p>
    <w:p w14:paraId="2CFD4094" w14:textId="77777777" w:rsidR="005544F0" w:rsidRDefault="005544F0" w:rsidP="007C7CA8">
      <w:pPr>
        <w:rPr>
          <w:rFonts w:ascii="Verdana" w:hAnsi="Verdana"/>
          <w:sz w:val="20"/>
          <w:szCs w:val="20"/>
        </w:rPr>
      </w:pPr>
    </w:p>
    <w:p w14:paraId="0AA34450" w14:textId="77777777" w:rsidR="005544F0" w:rsidRDefault="005544F0" w:rsidP="007C7CA8">
      <w:pPr>
        <w:rPr>
          <w:rFonts w:ascii="Verdana" w:hAnsi="Verdana"/>
          <w:sz w:val="20"/>
          <w:szCs w:val="20"/>
        </w:rPr>
      </w:pPr>
      <w:r>
        <w:rPr>
          <w:rFonts w:ascii="Verdana" w:hAnsi="Verdana"/>
          <w:sz w:val="20"/>
          <w:szCs w:val="20"/>
        </w:rPr>
        <w:t>Case 1:</w:t>
      </w:r>
    </w:p>
    <w:p w14:paraId="34805CAC" w14:textId="77777777" w:rsidR="005544F0" w:rsidRDefault="005544F0" w:rsidP="007C7CA8">
      <w:pPr>
        <w:rPr>
          <w:rFonts w:ascii="Verdana" w:hAnsi="Verdana"/>
          <w:sz w:val="20"/>
          <w:szCs w:val="20"/>
        </w:rPr>
      </w:pPr>
    </w:p>
    <w:p w14:paraId="3B700162" w14:textId="77777777" w:rsidR="005544F0" w:rsidRDefault="00CB3819" w:rsidP="005544F0">
      <w:pPr>
        <w:pStyle w:val="ListParagraph"/>
        <w:numPr>
          <w:ilvl w:val="0"/>
          <w:numId w:val="10"/>
        </w:numPr>
        <w:rPr>
          <w:rFonts w:ascii="Verdana" w:hAnsi="Verdana"/>
          <w:sz w:val="20"/>
          <w:szCs w:val="20"/>
        </w:rPr>
      </w:pPr>
      <w:r w:rsidRPr="005544F0">
        <w:rPr>
          <w:rFonts w:ascii="Verdana" w:hAnsi="Verdana"/>
          <w:sz w:val="20"/>
          <w:szCs w:val="20"/>
        </w:rPr>
        <w:t>John is a 40 year-</w:t>
      </w:r>
      <w:r w:rsidR="00352359" w:rsidRPr="005544F0">
        <w:rPr>
          <w:rFonts w:ascii="Verdana" w:hAnsi="Verdana"/>
          <w:sz w:val="20"/>
          <w:szCs w:val="20"/>
        </w:rPr>
        <w:t>old man</w:t>
      </w:r>
      <w:r w:rsidRPr="005544F0">
        <w:rPr>
          <w:rFonts w:ascii="Verdana" w:hAnsi="Verdana"/>
          <w:sz w:val="20"/>
          <w:szCs w:val="20"/>
        </w:rPr>
        <w:t xml:space="preserve"> </w:t>
      </w:r>
      <w:r w:rsidR="0095114B">
        <w:rPr>
          <w:rFonts w:ascii="Verdana" w:hAnsi="Verdana"/>
          <w:sz w:val="20"/>
          <w:szCs w:val="20"/>
        </w:rPr>
        <w:t xml:space="preserve">living </w:t>
      </w:r>
      <w:r w:rsidRPr="005544F0">
        <w:rPr>
          <w:rFonts w:ascii="Verdana" w:hAnsi="Verdana"/>
          <w:sz w:val="20"/>
          <w:szCs w:val="20"/>
        </w:rPr>
        <w:t xml:space="preserve">with </w:t>
      </w:r>
      <w:r w:rsidR="0095114B">
        <w:rPr>
          <w:rFonts w:ascii="Verdana" w:hAnsi="Verdana"/>
          <w:sz w:val="20"/>
          <w:szCs w:val="20"/>
        </w:rPr>
        <w:t>HIV</w:t>
      </w:r>
      <w:r w:rsidRPr="005544F0">
        <w:rPr>
          <w:rFonts w:ascii="Verdana" w:hAnsi="Verdana"/>
          <w:sz w:val="20"/>
          <w:szCs w:val="20"/>
        </w:rPr>
        <w:t xml:space="preserve"> </w:t>
      </w:r>
      <w:r w:rsidR="0095114B">
        <w:rPr>
          <w:rFonts w:ascii="Verdana" w:hAnsi="Verdana"/>
          <w:sz w:val="20"/>
          <w:szCs w:val="20"/>
        </w:rPr>
        <w:t>and is a</w:t>
      </w:r>
      <w:r w:rsidR="00352359" w:rsidRPr="005544F0">
        <w:rPr>
          <w:rFonts w:ascii="Verdana" w:hAnsi="Verdana"/>
          <w:sz w:val="20"/>
          <w:szCs w:val="20"/>
        </w:rPr>
        <w:t xml:space="preserve"> New Mexico</w:t>
      </w:r>
      <w:r w:rsidR="0095114B">
        <w:rPr>
          <w:rFonts w:ascii="Verdana" w:hAnsi="Verdana"/>
          <w:sz w:val="20"/>
          <w:szCs w:val="20"/>
        </w:rPr>
        <w:t xml:space="preserve"> resident</w:t>
      </w:r>
      <w:r w:rsidR="00ED220C" w:rsidRPr="005544F0">
        <w:rPr>
          <w:rFonts w:ascii="Verdana" w:hAnsi="Verdana"/>
          <w:sz w:val="20"/>
          <w:szCs w:val="20"/>
        </w:rPr>
        <w:t xml:space="preserve">. John </w:t>
      </w:r>
      <w:r w:rsidR="00B51CD9" w:rsidRPr="005544F0">
        <w:rPr>
          <w:rFonts w:ascii="Verdana" w:hAnsi="Verdana"/>
          <w:sz w:val="20"/>
          <w:szCs w:val="20"/>
        </w:rPr>
        <w:t>recently lost his employer-based health insurance</w:t>
      </w:r>
      <w:r w:rsidR="00ED220C" w:rsidRPr="005544F0">
        <w:rPr>
          <w:rFonts w:ascii="Verdana" w:hAnsi="Verdana"/>
          <w:sz w:val="20"/>
          <w:szCs w:val="20"/>
        </w:rPr>
        <w:t>, but has found another job that pays 250% of federal poverty level (about $28,725 a year)</w:t>
      </w:r>
      <w:r w:rsidR="00B51CD9" w:rsidRPr="005544F0">
        <w:rPr>
          <w:rFonts w:ascii="Verdana" w:hAnsi="Verdana"/>
          <w:sz w:val="20"/>
          <w:szCs w:val="20"/>
        </w:rPr>
        <w:t xml:space="preserve">. </w:t>
      </w:r>
    </w:p>
    <w:p w14:paraId="52F1F0B4" w14:textId="77777777" w:rsidR="005544F0" w:rsidRDefault="005544F0" w:rsidP="005544F0">
      <w:pPr>
        <w:pStyle w:val="ListParagraph"/>
        <w:rPr>
          <w:rFonts w:ascii="Verdana" w:hAnsi="Verdana"/>
          <w:sz w:val="20"/>
          <w:szCs w:val="20"/>
        </w:rPr>
      </w:pPr>
    </w:p>
    <w:p w14:paraId="26AC1D02" w14:textId="77777777" w:rsidR="005544F0" w:rsidRDefault="00B51CD9" w:rsidP="005544F0">
      <w:pPr>
        <w:pStyle w:val="ListParagraph"/>
        <w:numPr>
          <w:ilvl w:val="0"/>
          <w:numId w:val="10"/>
        </w:numPr>
        <w:rPr>
          <w:rFonts w:ascii="Verdana" w:hAnsi="Verdana"/>
          <w:sz w:val="20"/>
          <w:szCs w:val="20"/>
        </w:rPr>
      </w:pPr>
      <w:r w:rsidRPr="005544F0">
        <w:rPr>
          <w:rFonts w:ascii="Verdana" w:hAnsi="Verdana"/>
          <w:sz w:val="20"/>
          <w:szCs w:val="20"/>
        </w:rPr>
        <w:t>Because he has had health insurance with</w:t>
      </w:r>
      <w:r w:rsidR="00ED220C" w:rsidRPr="005544F0">
        <w:rPr>
          <w:rFonts w:ascii="Verdana" w:hAnsi="Verdana"/>
          <w:sz w:val="20"/>
          <w:szCs w:val="20"/>
        </w:rPr>
        <w:t>in</w:t>
      </w:r>
      <w:r w:rsidRPr="005544F0">
        <w:rPr>
          <w:rFonts w:ascii="Verdana" w:hAnsi="Verdana"/>
          <w:sz w:val="20"/>
          <w:szCs w:val="20"/>
        </w:rPr>
        <w:t xml:space="preserve"> the last 6 months, he is not eligible for PCIP enrollment, but is eligible for the state high risk pool. </w:t>
      </w:r>
    </w:p>
    <w:p w14:paraId="33E1939E" w14:textId="77777777" w:rsidR="005544F0" w:rsidRPr="005544F0" w:rsidRDefault="005544F0" w:rsidP="005544F0">
      <w:pPr>
        <w:pStyle w:val="ListParagraph"/>
        <w:rPr>
          <w:rFonts w:ascii="Verdana" w:hAnsi="Verdana"/>
          <w:sz w:val="20"/>
          <w:szCs w:val="20"/>
        </w:rPr>
      </w:pPr>
    </w:p>
    <w:p w14:paraId="6FE8EF95" w14:textId="77777777" w:rsidR="005544F0" w:rsidRDefault="00ED220C" w:rsidP="005544F0">
      <w:pPr>
        <w:pStyle w:val="ListParagraph"/>
        <w:numPr>
          <w:ilvl w:val="0"/>
          <w:numId w:val="10"/>
        </w:numPr>
        <w:rPr>
          <w:rFonts w:ascii="Verdana" w:hAnsi="Verdana"/>
          <w:sz w:val="20"/>
          <w:szCs w:val="20"/>
        </w:rPr>
      </w:pPr>
      <w:r w:rsidRPr="005544F0">
        <w:rPr>
          <w:rFonts w:ascii="Verdana" w:hAnsi="Verdana"/>
          <w:sz w:val="20"/>
          <w:szCs w:val="20"/>
        </w:rPr>
        <w:t>If</w:t>
      </w:r>
      <w:r w:rsidR="00B51CD9" w:rsidRPr="005544F0">
        <w:rPr>
          <w:rFonts w:ascii="Verdana" w:hAnsi="Verdana"/>
          <w:sz w:val="20"/>
          <w:szCs w:val="20"/>
        </w:rPr>
        <w:t xml:space="preserve"> John </w:t>
      </w:r>
      <w:r w:rsidRPr="005544F0">
        <w:rPr>
          <w:rFonts w:ascii="Verdana" w:hAnsi="Verdana"/>
          <w:sz w:val="20"/>
          <w:szCs w:val="20"/>
        </w:rPr>
        <w:t>enrolls in the $2000 deductible plan</w:t>
      </w:r>
      <w:r w:rsidR="00B51CD9" w:rsidRPr="005544F0">
        <w:rPr>
          <w:rFonts w:ascii="Verdana" w:hAnsi="Verdana"/>
          <w:sz w:val="20"/>
          <w:szCs w:val="20"/>
        </w:rPr>
        <w:t xml:space="preserve">, his premiums in the state high risk pools will be $1,887 annually. </w:t>
      </w:r>
    </w:p>
    <w:p w14:paraId="563C2981" w14:textId="77777777" w:rsidR="005544F0" w:rsidRPr="005544F0" w:rsidRDefault="005544F0" w:rsidP="005544F0">
      <w:pPr>
        <w:pStyle w:val="ListParagraph"/>
        <w:rPr>
          <w:rFonts w:ascii="Verdana" w:hAnsi="Verdana"/>
          <w:sz w:val="20"/>
          <w:szCs w:val="20"/>
        </w:rPr>
      </w:pPr>
    </w:p>
    <w:p w14:paraId="5D1115CD" w14:textId="77777777" w:rsidR="005544F0" w:rsidRDefault="00B51CD9" w:rsidP="005544F0">
      <w:pPr>
        <w:pStyle w:val="ListParagraph"/>
        <w:numPr>
          <w:ilvl w:val="0"/>
          <w:numId w:val="10"/>
        </w:numPr>
        <w:rPr>
          <w:rFonts w:ascii="Verdana" w:hAnsi="Verdana"/>
          <w:sz w:val="20"/>
          <w:szCs w:val="20"/>
        </w:rPr>
      </w:pPr>
      <w:r w:rsidRPr="005544F0">
        <w:rPr>
          <w:rFonts w:ascii="Verdana" w:hAnsi="Verdana"/>
          <w:sz w:val="20"/>
          <w:szCs w:val="20"/>
        </w:rPr>
        <w:t xml:space="preserve">If New Mexico decides to close its high risk pool in 2014, John would need to enroll in the state health exchange. </w:t>
      </w:r>
    </w:p>
    <w:p w14:paraId="737E2E70" w14:textId="77777777" w:rsidR="005544F0" w:rsidRPr="005544F0" w:rsidRDefault="005544F0" w:rsidP="005544F0">
      <w:pPr>
        <w:pStyle w:val="ListParagraph"/>
        <w:rPr>
          <w:rFonts w:ascii="Verdana" w:hAnsi="Verdana"/>
          <w:sz w:val="20"/>
          <w:szCs w:val="20"/>
        </w:rPr>
      </w:pPr>
    </w:p>
    <w:p w14:paraId="4AC87E24" w14:textId="77777777" w:rsidR="005544F0" w:rsidRDefault="00ED220C" w:rsidP="005544F0">
      <w:pPr>
        <w:pStyle w:val="ListParagraph"/>
        <w:numPr>
          <w:ilvl w:val="0"/>
          <w:numId w:val="10"/>
        </w:numPr>
        <w:rPr>
          <w:rFonts w:ascii="Verdana" w:hAnsi="Verdana"/>
          <w:sz w:val="20"/>
          <w:szCs w:val="20"/>
        </w:rPr>
      </w:pPr>
      <w:r w:rsidRPr="005544F0">
        <w:rPr>
          <w:rFonts w:ascii="Verdana" w:hAnsi="Verdana"/>
          <w:sz w:val="20"/>
          <w:szCs w:val="20"/>
        </w:rPr>
        <w:t xml:space="preserve">Assuming John enrolls in </w:t>
      </w:r>
      <w:r w:rsidR="00B215D5" w:rsidRPr="005544F0">
        <w:rPr>
          <w:rFonts w:ascii="Verdana" w:hAnsi="Verdana"/>
          <w:sz w:val="20"/>
          <w:szCs w:val="20"/>
        </w:rPr>
        <w:t xml:space="preserve">a </w:t>
      </w:r>
      <w:r w:rsidRPr="005544F0">
        <w:rPr>
          <w:rFonts w:ascii="Verdana" w:hAnsi="Verdana"/>
          <w:sz w:val="20"/>
          <w:szCs w:val="20"/>
        </w:rPr>
        <w:t xml:space="preserve">“silver” </w:t>
      </w:r>
      <w:r w:rsidR="00B215D5" w:rsidRPr="005544F0">
        <w:rPr>
          <w:rFonts w:ascii="Verdana" w:hAnsi="Verdana"/>
          <w:sz w:val="20"/>
          <w:szCs w:val="20"/>
        </w:rPr>
        <w:t>plan (which would have roughly the same level of cost sharing as the PCIP)</w:t>
      </w:r>
      <w:r w:rsidR="00B51CD9" w:rsidRPr="005544F0">
        <w:rPr>
          <w:rFonts w:ascii="Verdana" w:hAnsi="Verdana"/>
          <w:sz w:val="20"/>
          <w:szCs w:val="20"/>
        </w:rPr>
        <w:t xml:space="preserve">, </w:t>
      </w:r>
      <w:r w:rsidRPr="005544F0">
        <w:rPr>
          <w:rFonts w:ascii="Verdana" w:hAnsi="Verdana"/>
          <w:sz w:val="20"/>
          <w:szCs w:val="20"/>
        </w:rPr>
        <w:t>his</w:t>
      </w:r>
      <w:r w:rsidR="00B51CD9" w:rsidRPr="005544F0">
        <w:rPr>
          <w:rFonts w:ascii="Verdana" w:hAnsi="Verdana"/>
          <w:sz w:val="20"/>
          <w:szCs w:val="20"/>
        </w:rPr>
        <w:t xml:space="preserve"> premiums would increase to $2,315 annually</w:t>
      </w:r>
      <w:r w:rsidRPr="005544F0">
        <w:rPr>
          <w:rFonts w:ascii="Verdana" w:hAnsi="Verdana"/>
          <w:sz w:val="20"/>
          <w:szCs w:val="20"/>
        </w:rPr>
        <w:t xml:space="preserve"> after the subsidy is taken into account</w:t>
      </w:r>
      <w:r w:rsidR="00B51CD9" w:rsidRPr="005544F0">
        <w:rPr>
          <w:rFonts w:ascii="Verdana" w:hAnsi="Verdana"/>
          <w:sz w:val="20"/>
          <w:szCs w:val="20"/>
        </w:rPr>
        <w:t xml:space="preserve">. </w:t>
      </w:r>
    </w:p>
    <w:p w14:paraId="089C03DF" w14:textId="77777777" w:rsidR="005544F0" w:rsidRPr="005544F0" w:rsidRDefault="005544F0" w:rsidP="005544F0">
      <w:pPr>
        <w:pStyle w:val="ListParagraph"/>
        <w:rPr>
          <w:rFonts w:ascii="Verdana" w:hAnsi="Verdana"/>
          <w:sz w:val="20"/>
          <w:szCs w:val="20"/>
        </w:rPr>
      </w:pPr>
    </w:p>
    <w:p w14:paraId="644D3EDA" w14:textId="77777777" w:rsidR="00CB3819" w:rsidRPr="005544F0" w:rsidRDefault="00B51CD9" w:rsidP="005544F0">
      <w:pPr>
        <w:pStyle w:val="ListParagraph"/>
        <w:numPr>
          <w:ilvl w:val="0"/>
          <w:numId w:val="10"/>
        </w:numPr>
        <w:rPr>
          <w:rFonts w:ascii="Verdana" w:hAnsi="Verdana"/>
          <w:sz w:val="20"/>
          <w:szCs w:val="20"/>
        </w:rPr>
      </w:pPr>
      <w:r w:rsidRPr="005544F0">
        <w:rPr>
          <w:rFonts w:ascii="Verdana" w:hAnsi="Verdana"/>
          <w:sz w:val="20"/>
          <w:szCs w:val="20"/>
        </w:rPr>
        <w:t xml:space="preserve">If John were instead 50 years old, his premiums in the exchange would remain </w:t>
      </w:r>
      <w:r w:rsidRPr="005544F0">
        <w:rPr>
          <w:rFonts w:ascii="Verdana" w:hAnsi="Verdana"/>
          <w:sz w:val="20"/>
          <w:szCs w:val="20"/>
        </w:rPr>
        <w:lastRenderedPageBreak/>
        <w:t>the same, but his premiums in the state health pool would be $2,565.</w:t>
      </w:r>
      <w:r w:rsidR="007505B3" w:rsidRPr="005544F0">
        <w:rPr>
          <w:rFonts w:ascii="Verdana" w:hAnsi="Verdana"/>
          <w:sz w:val="20"/>
          <w:szCs w:val="20"/>
        </w:rPr>
        <w:t xml:space="preserve"> </w:t>
      </w:r>
    </w:p>
    <w:p w14:paraId="02711DEC" w14:textId="77777777" w:rsidR="00CB3819" w:rsidRDefault="00CB3819" w:rsidP="007C7CA8">
      <w:pPr>
        <w:rPr>
          <w:rFonts w:ascii="Verdana" w:hAnsi="Verdana"/>
          <w:sz w:val="20"/>
          <w:szCs w:val="20"/>
        </w:rPr>
      </w:pPr>
    </w:p>
    <w:p w14:paraId="4895895A" w14:textId="77777777" w:rsidR="005544F0" w:rsidRDefault="005544F0" w:rsidP="007C7CA8">
      <w:pPr>
        <w:rPr>
          <w:rFonts w:ascii="Verdana" w:hAnsi="Verdana"/>
          <w:sz w:val="20"/>
          <w:szCs w:val="20"/>
        </w:rPr>
      </w:pPr>
      <w:r>
        <w:rPr>
          <w:rFonts w:ascii="Verdana" w:hAnsi="Verdana"/>
          <w:sz w:val="20"/>
          <w:szCs w:val="20"/>
        </w:rPr>
        <w:t>Case 2:</w:t>
      </w:r>
    </w:p>
    <w:p w14:paraId="2BC31864" w14:textId="77777777" w:rsidR="005544F0" w:rsidRDefault="005544F0" w:rsidP="007C7CA8">
      <w:pPr>
        <w:rPr>
          <w:rFonts w:ascii="Verdana" w:hAnsi="Verdana"/>
          <w:sz w:val="20"/>
          <w:szCs w:val="20"/>
        </w:rPr>
      </w:pPr>
    </w:p>
    <w:p w14:paraId="768B84DF" w14:textId="77777777" w:rsidR="006F4F62" w:rsidRDefault="007505B3" w:rsidP="005544F0">
      <w:pPr>
        <w:pStyle w:val="ListParagraph"/>
        <w:numPr>
          <w:ilvl w:val="0"/>
          <w:numId w:val="11"/>
        </w:numPr>
        <w:rPr>
          <w:rFonts w:ascii="Verdana" w:hAnsi="Verdana"/>
          <w:sz w:val="20"/>
          <w:szCs w:val="20"/>
        </w:rPr>
      </w:pPr>
      <w:r w:rsidRPr="005544F0">
        <w:rPr>
          <w:rFonts w:ascii="Verdana" w:hAnsi="Verdana"/>
          <w:sz w:val="20"/>
          <w:szCs w:val="20"/>
        </w:rPr>
        <w:t xml:space="preserve">Joanne </w:t>
      </w:r>
      <w:r w:rsidR="00CB3819" w:rsidRPr="005544F0">
        <w:rPr>
          <w:rFonts w:ascii="Verdana" w:hAnsi="Verdana"/>
          <w:sz w:val="20"/>
          <w:szCs w:val="20"/>
        </w:rPr>
        <w:t xml:space="preserve">is a thirty year-old living in </w:t>
      </w:r>
      <w:r w:rsidR="00B215D5" w:rsidRPr="005544F0">
        <w:rPr>
          <w:rFonts w:ascii="Verdana" w:hAnsi="Verdana"/>
          <w:sz w:val="20"/>
          <w:szCs w:val="20"/>
        </w:rPr>
        <w:t>North Carolina</w:t>
      </w:r>
      <w:r w:rsidR="00CB3819" w:rsidRPr="005544F0">
        <w:rPr>
          <w:rFonts w:ascii="Verdana" w:hAnsi="Verdana"/>
          <w:sz w:val="20"/>
          <w:szCs w:val="20"/>
        </w:rPr>
        <w:t xml:space="preserve"> who has never had health insurance.</w:t>
      </w:r>
      <w:r w:rsidR="00ED220C" w:rsidRPr="005544F0">
        <w:rPr>
          <w:rFonts w:ascii="Verdana" w:hAnsi="Verdana"/>
          <w:sz w:val="20"/>
          <w:szCs w:val="20"/>
        </w:rPr>
        <w:t xml:space="preserve"> She has a preexisting condition, and makes 100% of </w:t>
      </w:r>
      <w:r w:rsidR="00EE6796" w:rsidRPr="005544F0">
        <w:rPr>
          <w:rFonts w:ascii="Verdana" w:hAnsi="Verdana"/>
          <w:sz w:val="20"/>
          <w:szCs w:val="20"/>
        </w:rPr>
        <w:t>the FPL</w:t>
      </w:r>
      <w:r w:rsidR="00ED220C" w:rsidRPr="005544F0">
        <w:rPr>
          <w:rFonts w:ascii="Verdana" w:hAnsi="Verdana"/>
          <w:sz w:val="20"/>
          <w:szCs w:val="20"/>
        </w:rPr>
        <w:t xml:space="preserve"> ($11,490), but is not disabled and does not currently qualif</w:t>
      </w:r>
      <w:r w:rsidR="00EE6796" w:rsidRPr="005544F0">
        <w:rPr>
          <w:rFonts w:ascii="Verdana" w:hAnsi="Verdana"/>
          <w:sz w:val="20"/>
          <w:szCs w:val="20"/>
        </w:rPr>
        <w:t>y</w:t>
      </w:r>
      <w:r w:rsidR="00ED220C" w:rsidRPr="005544F0">
        <w:rPr>
          <w:rFonts w:ascii="Verdana" w:hAnsi="Verdana"/>
          <w:sz w:val="20"/>
          <w:szCs w:val="20"/>
        </w:rPr>
        <w:t xml:space="preserve"> for Medicaid.</w:t>
      </w:r>
      <w:r w:rsidR="00CB3819" w:rsidRPr="005544F0">
        <w:rPr>
          <w:rFonts w:ascii="Verdana" w:hAnsi="Verdana"/>
          <w:sz w:val="20"/>
          <w:szCs w:val="20"/>
        </w:rPr>
        <w:t xml:space="preserve"> </w:t>
      </w:r>
    </w:p>
    <w:p w14:paraId="69E9525D" w14:textId="77777777" w:rsidR="007568E2" w:rsidRDefault="007568E2" w:rsidP="007568E2">
      <w:pPr>
        <w:pStyle w:val="ListParagraph"/>
        <w:rPr>
          <w:rFonts w:ascii="Verdana" w:hAnsi="Verdana"/>
          <w:sz w:val="20"/>
          <w:szCs w:val="20"/>
        </w:rPr>
      </w:pPr>
    </w:p>
    <w:p w14:paraId="61756954" w14:textId="77777777" w:rsidR="006F4F62" w:rsidRDefault="00CB3819" w:rsidP="005544F0">
      <w:pPr>
        <w:pStyle w:val="ListParagraph"/>
        <w:numPr>
          <w:ilvl w:val="0"/>
          <w:numId w:val="11"/>
        </w:numPr>
        <w:rPr>
          <w:rFonts w:ascii="Verdana" w:hAnsi="Verdana"/>
          <w:sz w:val="20"/>
          <w:szCs w:val="20"/>
        </w:rPr>
      </w:pPr>
      <w:r w:rsidRPr="005544F0">
        <w:rPr>
          <w:rFonts w:ascii="Verdana" w:hAnsi="Verdana"/>
          <w:sz w:val="20"/>
          <w:szCs w:val="20"/>
        </w:rPr>
        <w:t xml:space="preserve">As a result, she </w:t>
      </w:r>
      <w:r w:rsidR="00445CD8" w:rsidRPr="005544F0">
        <w:rPr>
          <w:rFonts w:ascii="Verdana" w:hAnsi="Verdana"/>
          <w:sz w:val="20"/>
          <w:szCs w:val="20"/>
        </w:rPr>
        <w:t xml:space="preserve">was </w:t>
      </w:r>
      <w:r w:rsidRPr="005544F0">
        <w:rPr>
          <w:rFonts w:ascii="Verdana" w:hAnsi="Verdana"/>
          <w:sz w:val="20"/>
          <w:szCs w:val="20"/>
        </w:rPr>
        <w:t>eligible for the PCIP program</w:t>
      </w:r>
      <w:r w:rsidR="00445CD8" w:rsidRPr="005544F0">
        <w:rPr>
          <w:rFonts w:ascii="Verdana" w:hAnsi="Verdana"/>
          <w:sz w:val="20"/>
          <w:szCs w:val="20"/>
        </w:rPr>
        <w:t xml:space="preserve"> before enrollment closed</w:t>
      </w:r>
      <w:r w:rsidRPr="005544F0">
        <w:rPr>
          <w:rFonts w:ascii="Verdana" w:hAnsi="Verdana"/>
          <w:sz w:val="20"/>
          <w:szCs w:val="20"/>
        </w:rPr>
        <w:t>. Her PCIP premiums under the “standard”</w:t>
      </w:r>
      <w:r w:rsidR="00ED220C" w:rsidRPr="005544F0">
        <w:rPr>
          <w:rFonts w:ascii="Verdana" w:hAnsi="Verdana"/>
          <w:sz w:val="20"/>
          <w:szCs w:val="20"/>
        </w:rPr>
        <w:t xml:space="preserve"> plan </w:t>
      </w:r>
      <w:r w:rsidR="00EE6796" w:rsidRPr="005544F0">
        <w:rPr>
          <w:rFonts w:ascii="Verdana" w:hAnsi="Verdana"/>
          <w:sz w:val="20"/>
          <w:szCs w:val="20"/>
        </w:rPr>
        <w:t xml:space="preserve">range from </w:t>
      </w:r>
      <w:r w:rsidRPr="005544F0">
        <w:rPr>
          <w:rFonts w:ascii="Verdana" w:hAnsi="Verdana"/>
          <w:sz w:val="20"/>
          <w:szCs w:val="20"/>
        </w:rPr>
        <w:t>$</w:t>
      </w:r>
      <w:r w:rsidR="00EE6796" w:rsidRPr="005544F0">
        <w:rPr>
          <w:rFonts w:ascii="Verdana" w:hAnsi="Verdana"/>
          <w:sz w:val="20"/>
          <w:szCs w:val="20"/>
        </w:rPr>
        <w:t>69 to $658</w:t>
      </w:r>
      <w:r w:rsidRPr="005544F0">
        <w:rPr>
          <w:rFonts w:ascii="Verdana" w:hAnsi="Verdana"/>
          <w:color w:val="FF0000"/>
          <w:sz w:val="20"/>
          <w:szCs w:val="20"/>
        </w:rPr>
        <w:t xml:space="preserve"> </w:t>
      </w:r>
      <w:r w:rsidRPr="005544F0">
        <w:rPr>
          <w:rFonts w:ascii="Verdana" w:hAnsi="Verdana"/>
          <w:sz w:val="20"/>
          <w:szCs w:val="20"/>
        </w:rPr>
        <w:t>per year</w:t>
      </w:r>
      <w:r w:rsidR="00EE6796" w:rsidRPr="005544F0">
        <w:rPr>
          <w:rFonts w:ascii="Verdana" w:hAnsi="Verdana"/>
          <w:sz w:val="20"/>
          <w:szCs w:val="20"/>
        </w:rPr>
        <w:t xml:space="preserve"> depending on where in North Carolina she resides</w:t>
      </w:r>
      <w:r w:rsidRPr="005544F0">
        <w:rPr>
          <w:rFonts w:ascii="Verdana" w:hAnsi="Verdana"/>
          <w:sz w:val="20"/>
          <w:szCs w:val="20"/>
        </w:rPr>
        <w:t>.</w:t>
      </w:r>
      <w:r w:rsidR="00EE27F0">
        <w:rPr>
          <w:rStyle w:val="EndnoteReference"/>
          <w:rFonts w:ascii="Verdana" w:hAnsi="Verdana"/>
          <w:sz w:val="20"/>
          <w:szCs w:val="20"/>
        </w:rPr>
        <w:endnoteReference w:id="30"/>
      </w:r>
      <w:r w:rsidRPr="005544F0">
        <w:rPr>
          <w:rFonts w:ascii="Verdana" w:hAnsi="Verdana"/>
          <w:sz w:val="20"/>
          <w:szCs w:val="20"/>
        </w:rPr>
        <w:t xml:space="preserve"> </w:t>
      </w:r>
    </w:p>
    <w:p w14:paraId="7056A157" w14:textId="77777777" w:rsidR="006F4F62" w:rsidRDefault="006F4F62" w:rsidP="006F4F62">
      <w:pPr>
        <w:pStyle w:val="ListParagraph"/>
        <w:rPr>
          <w:rFonts w:ascii="Verdana" w:hAnsi="Verdana"/>
          <w:sz w:val="20"/>
          <w:szCs w:val="20"/>
        </w:rPr>
      </w:pPr>
    </w:p>
    <w:p w14:paraId="4678810A" w14:textId="77777777" w:rsidR="006F4F62" w:rsidRDefault="00CB3819" w:rsidP="005544F0">
      <w:pPr>
        <w:pStyle w:val="ListParagraph"/>
        <w:numPr>
          <w:ilvl w:val="0"/>
          <w:numId w:val="11"/>
        </w:numPr>
        <w:rPr>
          <w:rFonts w:ascii="Verdana" w:hAnsi="Verdana"/>
          <w:sz w:val="20"/>
          <w:szCs w:val="20"/>
        </w:rPr>
      </w:pPr>
      <w:r w:rsidRPr="005544F0">
        <w:rPr>
          <w:rFonts w:ascii="Verdana" w:hAnsi="Verdana"/>
          <w:sz w:val="20"/>
          <w:szCs w:val="20"/>
        </w:rPr>
        <w:t>In 2014, the</w:t>
      </w:r>
      <w:r w:rsidR="00F64D37" w:rsidRPr="005544F0">
        <w:rPr>
          <w:rFonts w:ascii="Verdana" w:hAnsi="Verdana"/>
          <w:sz w:val="20"/>
          <w:szCs w:val="20"/>
        </w:rPr>
        <w:t xml:space="preserve"> PCIP program will no longer provide coverage and Joanne will need a different type of health insurance. </w:t>
      </w:r>
    </w:p>
    <w:p w14:paraId="17FB2EFB" w14:textId="77777777" w:rsidR="006F4F62" w:rsidRPr="006F4F62" w:rsidRDefault="006F4F62" w:rsidP="006F4F62">
      <w:pPr>
        <w:pStyle w:val="ListParagraph"/>
        <w:rPr>
          <w:rFonts w:ascii="Verdana" w:hAnsi="Verdana"/>
          <w:sz w:val="20"/>
          <w:szCs w:val="20"/>
        </w:rPr>
      </w:pPr>
    </w:p>
    <w:p w14:paraId="1A461E90" w14:textId="77777777" w:rsidR="006F4F62" w:rsidRDefault="00F64D37" w:rsidP="005544F0">
      <w:pPr>
        <w:pStyle w:val="ListParagraph"/>
        <w:numPr>
          <w:ilvl w:val="0"/>
          <w:numId w:val="11"/>
        </w:numPr>
        <w:rPr>
          <w:rFonts w:ascii="Verdana" w:hAnsi="Verdana"/>
          <w:sz w:val="20"/>
          <w:szCs w:val="20"/>
        </w:rPr>
      </w:pPr>
      <w:r w:rsidRPr="005544F0">
        <w:rPr>
          <w:rFonts w:ascii="Verdana" w:hAnsi="Verdana"/>
          <w:sz w:val="20"/>
          <w:szCs w:val="20"/>
        </w:rPr>
        <w:t xml:space="preserve">Joanne would qualify for Medicaid </w:t>
      </w:r>
      <w:r w:rsidR="007C0E74" w:rsidRPr="005544F0">
        <w:rPr>
          <w:rFonts w:ascii="Verdana" w:hAnsi="Verdana"/>
          <w:sz w:val="20"/>
          <w:szCs w:val="20"/>
        </w:rPr>
        <w:t xml:space="preserve">under the expansion, but </w:t>
      </w:r>
      <w:r w:rsidR="002E6E2A" w:rsidRPr="005544F0">
        <w:rPr>
          <w:rFonts w:ascii="Verdana" w:hAnsi="Verdana"/>
          <w:sz w:val="20"/>
          <w:szCs w:val="20"/>
        </w:rPr>
        <w:t>North Carolina</w:t>
      </w:r>
      <w:r w:rsidRPr="005544F0">
        <w:rPr>
          <w:rFonts w:ascii="Verdana" w:hAnsi="Verdana"/>
          <w:sz w:val="20"/>
          <w:szCs w:val="20"/>
        </w:rPr>
        <w:t xml:space="preserve"> </w:t>
      </w:r>
      <w:r w:rsidR="007C0E74" w:rsidRPr="005544F0">
        <w:rPr>
          <w:rFonts w:ascii="Verdana" w:hAnsi="Verdana"/>
          <w:sz w:val="20"/>
          <w:szCs w:val="20"/>
        </w:rPr>
        <w:t xml:space="preserve">has indicated it </w:t>
      </w:r>
      <w:r w:rsidR="00EE6796" w:rsidRPr="005544F0">
        <w:rPr>
          <w:rFonts w:ascii="Verdana" w:hAnsi="Verdana"/>
          <w:sz w:val="20"/>
          <w:szCs w:val="20"/>
        </w:rPr>
        <w:t xml:space="preserve">will not </w:t>
      </w:r>
      <w:r w:rsidRPr="005544F0">
        <w:rPr>
          <w:rFonts w:ascii="Verdana" w:hAnsi="Verdana"/>
          <w:sz w:val="20"/>
          <w:szCs w:val="20"/>
        </w:rPr>
        <w:t>expand Medicaid</w:t>
      </w:r>
      <w:r w:rsidR="00EE6796" w:rsidRPr="005544F0">
        <w:rPr>
          <w:rFonts w:ascii="Verdana" w:hAnsi="Verdana"/>
          <w:sz w:val="20"/>
          <w:szCs w:val="20"/>
        </w:rPr>
        <w:t xml:space="preserve"> eligibility</w:t>
      </w:r>
      <w:r w:rsidR="007C0E74" w:rsidRPr="005544F0">
        <w:rPr>
          <w:rFonts w:ascii="Verdana" w:hAnsi="Verdana"/>
          <w:sz w:val="20"/>
          <w:szCs w:val="20"/>
        </w:rPr>
        <w:t>. Therefore</w:t>
      </w:r>
      <w:r w:rsidRPr="005544F0">
        <w:rPr>
          <w:rFonts w:ascii="Verdana" w:hAnsi="Verdana"/>
          <w:sz w:val="20"/>
          <w:szCs w:val="20"/>
        </w:rPr>
        <w:t xml:space="preserve"> she would need to purchase health insurance through the exchange</w:t>
      </w:r>
      <w:r w:rsidR="007C0E74" w:rsidRPr="005544F0">
        <w:rPr>
          <w:rFonts w:ascii="Verdana" w:hAnsi="Verdana"/>
          <w:sz w:val="20"/>
          <w:szCs w:val="20"/>
        </w:rPr>
        <w:t>, which for her age and income, would cost</w:t>
      </w:r>
      <w:r w:rsidRPr="005544F0">
        <w:rPr>
          <w:rFonts w:ascii="Verdana" w:hAnsi="Verdana"/>
          <w:sz w:val="20"/>
          <w:szCs w:val="20"/>
        </w:rPr>
        <w:t xml:space="preserve"> about $230 annually.</w:t>
      </w:r>
      <w:r w:rsidR="00EE27F0">
        <w:rPr>
          <w:rStyle w:val="EndnoteReference"/>
          <w:rFonts w:ascii="Verdana" w:hAnsi="Verdana"/>
          <w:sz w:val="20"/>
          <w:szCs w:val="20"/>
        </w:rPr>
        <w:endnoteReference w:id="31"/>
      </w:r>
      <w:r w:rsidR="00ED220C" w:rsidRPr="005544F0">
        <w:rPr>
          <w:rFonts w:ascii="Verdana" w:hAnsi="Verdana"/>
          <w:sz w:val="20"/>
          <w:szCs w:val="20"/>
        </w:rPr>
        <w:t xml:space="preserve"> </w:t>
      </w:r>
    </w:p>
    <w:p w14:paraId="0F0F49D1" w14:textId="77777777" w:rsidR="006F4F62" w:rsidRPr="006F4F62" w:rsidRDefault="006F4F62" w:rsidP="006F4F62">
      <w:pPr>
        <w:pStyle w:val="ListParagraph"/>
        <w:rPr>
          <w:rFonts w:ascii="Verdana" w:hAnsi="Verdana"/>
          <w:sz w:val="20"/>
          <w:szCs w:val="20"/>
        </w:rPr>
      </w:pPr>
    </w:p>
    <w:p w14:paraId="588F7FB0" w14:textId="4ABC1BF5" w:rsidR="00352359" w:rsidRPr="005544F0" w:rsidRDefault="00ED220C" w:rsidP="005544F0">
      <w:pPr>
        <w:pStyle w:val="ListParagraph"/>
        <w:numPr>
          <w:ilvl w:val="0"/>
          <w:numId w:val="11"/>
        </w:numPr>
        <w:rPr>
          <w:rFonts w:ascii="Verdana" w:hAnsi="Verdana"/>
          <w:sz w:val="20"/>
          <w:szCs w:val="20"/>
        </w:rPr>
      </w:pPr>
      <w:r w:rsidRPr="005544F0">
        <w:rPr>
          <w:rFonts w:ascii="Verdana" w:hAnsi="Verdana"/>
          <w:sz w:val="20"/>
          <w:szCs w:val="20"/>
        </w:rPr>
        <w:t>If she stopped working, however, she would no longer qualify for the exchange subsidy</w:t>
      </w:r>
      <w:r w:rsidR="00B215D5" w:rsidRPr="005544F0">
        <w:rPr>
          <w:rFonts w:ascii="Verdana" w:hAnsi="Verdana"/>
          <w:sz w:val="20"/>
          <w:szCs w:val="20"/>
        </w:rPr>
        <w:t>, because her income would be below the 100% level where subsidies begin</w:t>
      </w:r>
      <w:r w:rsidR="00EE6796" w:rsidRPr="005544F0">
        <w:rPr>
          <w:rFonts w:ascii="Verdana" w:hAnsi="Verdana"/>
          <w:sz w:val="20"/>
          <w:szCs w:val="20"/>
        </w:rPr>
        <w:t>. Unable to afford the insurance premium</w:t>
      </w:r>
      <w:r w:rsidR="007C0E74" w:rsidRPr="005544F0">
        <w:rPr>
          <w:rFonts w:ascii="Verdana" w:hAnsi="Verdana"/>
          <w:sz w:val="20"/>
          <w:szCs w:val="20"/>
        </w:rPr>
        <w:t>,</w:t>
      </w:r>
      <w:r w:rsidR="00EE6796" w:rsidRPr="005544F0">
        <w:rPr>
          <w:rFonts w:ascii="Verdana" w:hAnsi="Verdana"/>
          <w:sz w:val="20"/>
          <w:szCs w:val="20"/>
        </w:rPr>
        <w:t xml:space="preserve"> Joanne would be left </w:t>
      </w:r>
      <w:r w:rsidR="007C0E74" w:rsidRPr="005544F0">
        <w:rPr>
          <w:rFonts w:ascii="Verdana" w:hAnsi="Verdana"/>
          <w:sz w:val="20"/>
          <w:szCs w:val="20"/>
        </w:rPr>
        <w:t>without any insurance coverage</w:t>
      </w:r>
      <w:r w:rsidR="00B215D5" w:rsidRPr="005544F0">
        <w:rPr>
          <w:rFonts w:ascii="Verdana" w:hAnsi="Verdana"/>
          <w:sz w:val="20"/>
          <w:szCs w:val="20"/>
        </w:rPr>
        <w:t xml:space="preserve">. </w:t>
      </w:r>
    </w:p>
    <w:p w14:paraId="14225596" w14:textId="77777777" w:rsidR="006B3DD4" w:rsidRDefault="006B3DD4" w:rsidP="007C7CA8">
      <w:pPr>
        <w:rPr>
          <w:rFonts w:ascii="Verdana" w:hAnsi="Verdana"/>
          <w:b/>
          <w:color w:val="000090"/>
          <w:sz w:val="20"/>
          <w:szCs w:val="20"/>
        </w:rPr>
      </w:pPr>
    </w:p>
    <w:p w14:paraId="043A1C62" w14:textId="77777777" w:rsidR="007C7CA8" w:rsidRPr="006431D0" w:rsidRDefault="007C7CA8" w:rsidP="007C7CA8">
      <w:pPr>
        <w:rPr>
          <w:rFonts w:ascii="Verdana" w:hAnsi="Verdana"/>
          <w:b/>
          <w:color w:val="000090"/>
          <w:sz w:val="20"/>
          <w:szCs w:val="20"/>
        </w:rPr>
      </w:pPr>
      <w:r w:rsidRPr="006431D0">
        <w:rPr>
          <w:rFonts w:ascii="Verdana" w:hAnsi="Verdana"/>
          <w:b/>
          <w:color w:val="000090"/>
          <w:sz w:val="20"/>
          <w:szCs w:val="20"/>
        </w:rPr>
        <w:t xml:space="preserve">Potential Implications </w:t>
      </w:r>
      <w:r w:rsidR="00292C1F">
        <w:rPr>
          <w:rFonts w:ascii="Verdana" w:hAnsi="Verdana"/>
          <w:b/>
          <w:color w:val="000090"/>
          <w:sz w:val="20"/>
          <w:szCs w:val="20"/>
        </w:rPr>
        <w:t>of PCIP and State High Risk Pool Transition</w:t>
      </w:r>
    </w:p>
    <w:p w14:paraId="445F9A9E" w14:textId="77777777" w:rsidR="0075022B" w:rsidRDefault="0075022B" w:rsidP="007C7CA8">
      <w:pPr>
        <w:rPr>
          <w:rFonts w:ascii="Verdana" w:hAnsi="Verdana"/>
          <w:b/>
          <w:color w:val="000090"/>
          <w:sz w:val="20"/>
          <w:szCs w:val="20"/>
        </w:rPr>
      </w:pPr>
    </w:p>
    <w:p w14:paraId="22BB7006" w14:textId="77777777" w:rsidR="00292C1F" w:rsidRDefault="00292C1F" w:rsidP="007C7CA8">
      <w:pPr>
        <w:rPr>
          <w:rFonts w:ascii="Verdana" w:hAnsi="Verdana"/>
          <w:sz w:val="20"/>
          <w:szCs w:val="20"/>
        </w:rPr>
      </w:pPr>
      <w:r>
        <w:rPr>
          <w:rFonts w:ascii="Verdana" w:hAnsi="Verdana"/>
          <w:sz w:val="20"/>
          <w:szCs w:val="20"/>
        </w:rPr>
        <w:t>As full ACA implementation approaches, HIV/AIDS departments face several challenges</w:t>
      </w:r>
      <w:r w:rsidR="004E12A6">
        <w:rPr>
          <w:rFonts w:ascii="Verdana" w:hAnsi="Verdana"/>
          <w:sz w:val="20"/>
          <w:szCs w:val="20"/>
        </w:rPr>
        <w:t xml:space="preserve"> for individuals with pre-existing conditions</w:t>
      </w:r>
      <w:r>
        <w:rPr>
          <w:rFonts w:ascii="Verdana" w:hAnsi="Verdana"/>
          <w:sz w:val="20"/>
          <w:szCs w:val="20"/>
        </w:rPr>
        <w:t>. The first is how best to ensure continuous coverage for those individuals currently enrolled in PCIPs and (in certain states) high risk pools.</w:t>
      </w:r>
      <w:r w:rsidR="008E53CE">
        <w:rPr>
          <w:rFonts w:ascii="Verdana" w:hAnsi="Verdana"/>
          <w:sz w:val="20"/>
          <w:szCs w:val="20"/>
        </w:rPr>
        <w:t xml:space="preserve"> </w:t>
      </w:r>
      <w:r>
        <w:rPr>
          <w:rFonts w:ascii="Verdana" w:hAnsi="Verdana"/>
          <w:sz w:val="20"/>
          <w:szCs w:val="20"/>
        </w:rPr>
        <w:t>At minimum, clients should be informed of the change in their coverage status. It is also likely that at least some patients will need assistance in enrolling in state health exchanges or Medicaid. Additionally, certain categories of patients may have difficulty affording health insurance through the exchange, even with premium subsidies. In these cases, ADAPs may wish to provide premium support as permitted by the Ryan White Program.</w:t>
      </w:r>
    </w:p>
    <w:p w14:paraId="0BC55ABE" w14:textId="77777777" w:rsidR="00292C1F" w:rsidRDefault="00292C1F" w:rsidP="007C7CA8">
      <w:pPr>
        <w:rPr>
          <w:rFonts w:ascii="Verdana" w:hAnsi="Verdana"/>
          <w:sz w:val="20"/>
          <w:szCs w:val="20"/>
        </w:rPr>
      </w:pPr>
    </w:p>
    <w:p w14:paraId="2D36E638" w14:textId="77777777" w:rsidR="00292C1F" w:rsidRDefault="00292C1F" w:rsidP="007C7CA8">
      <w:pPr>
        <w:rPr>
          <w:rFonts w:ascii="Verdana" w:hAnsi="Verdana"/>
          <w:sz w:val="20"/>
          <w:szCs w:val="20"/>
        </w:rPr>
      </w:pPr>
      <w:r>
        <w:rPr>
          <w:rFonts w:ascii="Verdana" w:hAnsi="Verdana"/>
          <w:sz w:val="20"/>
          <w:szCs w:val="20"/>
        </w:rPr>
        <w:lastRenderedPageBreak/>
        <w:t>Additionally, many</w:t>
      </w:r>
      <w:r w:rsidR="001A6BDF">
        <w:rPr>
          <w:rFonts w:ascii="Verdana" w:hAnsi="Verdana"/>
          <w:sz w:val="20"/>
          <w:szCs w:val="20"/>
        </w:rPr>
        <w:t xml:space="preserve"> state-run</w:t>
      </w:r>
      <w:r>
        <w:rPr>
          <w:rFonts w:ascii="Verdana" w:hAnsi="Verdana"/>
          <w:sz w:val="20"/>
          <w:szCs w:val="20"/>
        </w:rPr>
        <w:t xml:space="preserve"> high risk pools are sti</w:t>
      </w:r>
      <w:r w:rsidR="001A6BDF">
        <w:rPr>
          <w:rFonts w:ascii="Verdana" w:hAnsi="Verdana"/>
          <w:sz w:val="20"/>
          <w:szCs w:val="20"/>
        </w:rPr>
        <w:t xml:space="preserve">ll in flux. Due to the guaranteed issue provisions of the ACA, patients currently enrolled in high risk pools will no longer be prevented from purchasing private insurance. However, state high risk pools still have other potential roles, such as covering gaps in affordability and reducing the </w:t>
      </w:r>
      <w:r w:rsidR="00EE4997">
        <w:rPr>
          <w:rFonts w:ascii="Verdana" w:hAnsi="Verdana"/>
          <w:sz w:val="20"/>
          <w:szCs w:val="20"/>
        </w:rPr>
        <w:t xml:space="preserve">number of high cost patients immediately enrolling in health exchange plans. Although the specifics of the transition will vary based on existing state programs and finances, </w:t>
      </w:r>
      <w:r w:rsidR="00EE4997" w:rsidRPr="006431D0">
        <w:rPr>
          <w:rFonts w:ascii="Verdana" w:hAnsi="Verdana"/>
          <w:sz w:val="20"/>
          <w:szCs w:val="20"/>
        </w:rPr>
        <w:t xml:space="preserve">the following are possible </w:t>
      </w:r>
      <w:r w:rsidR="00EE4997">
        <w:rPr>
          <w:rFonts w:ascii="Verdana" w:hAnsi="Verdana"/>
          <w:sz w:val="20"/>
          <w:szCs w:val="20"/>
        </w:rPr>
        <w:t>questions departments may have</w:t>
      </w:r>
      <w:r w:rsidR="00EE4997" w:rsidRPr="006431D0">
        <w:rPr>
          <w:rFonts w:ascii="Verdana" w:hAnsi="Verdana"/>
          <w:sz w:val="20"/>
          <w:szCs w:val="20"/>
        </w:rPr>
        <w:t xml:space="preserve"> as they prepare for health reform implementation:</w:t>
      </w:r>
    </w:p>
    <w:p w14:paraId="2E2AB8DA" w14:textId="77777777" w:rsidR="00BF24AE" w:rsidRDefault="00BF24AE" w:rsidP="007C7CA8">
      <w:pPr>
        <w:rPr>
          <w:rFonts w:ascii="Verdana" w:hAnsi="Verdana"/>
          <w:b/>
          <w:color w:val="000090"/>
          <w:sz w:val="20"/>
          <w:szCs w:val="20"/>
        </w:rPr>
      </w:pPr>
    </w:p>
    <w:p w14:paraId="38025A1D" w14:textId="77777777" w:rsidR="00DE28D0" w:rsidRPr="00612C3F" w:rsidRDefault="00DE28D0" w:rsidP="00612C3F">
      <w:pPr>
        <w:rPr>
          <w:rFonts w:ascii="Verdana" w:hAnsi="Verdana"/>
          <w:b/>
          <w:i/>
          <w:color w:val="000090"/>
          <w:sz w:val="20"/>
          <w:szCs w:val="20"/>
        </w:rPr>
      </w:pPr>
      <w:r w:rsidRPr="00612C3F">
        <w:rPr>
          <w:rFonts w:ascii="Verdana" w:hAnsi="Verdana"/>
          <w:b/>
          <w:i/>
          <w:color w:val="000090"/>
          <w:sz w:val="20"/>
          <w:szCs w:val="20"/>
        </w:rPr>
        <w:t>Are PCIPs permitted to continue any operation</w:t>
      </w:r>
      <w:r w:rsidR="007C7B96" w:rsidRPr="00612C3F">
        <w:rPr>
          <w:rFonts w:ascii="Verdana" w:hAnsi="Verdana"/>
          <w:b/>
          <w:i/>
          <w:color w:val="000090"/>
          <w:sz w:val="20"/>
          <w:szCs w:val="20"/>
        </w:rPr>
        <w:t>s</w:t>
      </w:r>
      <w:r w:rsidRPr="00612C3F">
        <w:rPr>
          <w:rFonts w:ascii="Verdana" w:hAnsi="Verdana"/>
          <w:b/>
          <w:i/>
          <w:color w:val="000090"/>
          <w:sz w:val="20"/>
          <w:szCs w:val="20"/>
        </w:rPr>
        <w:t xml:space="preserve"> after 2014?</w:t>
      </w:r>
    </w:p>
    <w:p w14:paraId="4D47D8FC" w14:textId="77777777" w:rsidR="00DE28D0" w:rsidRDefault="00DE28D0" w:rsidP="00DE28D0">
      <w:pPr>
        <w:pStyle w:val="ListParagraph"/>
        <w:rPr>
          <w:rFonts w:ascii="Verdana" w:hAnsi="Verdana"/>
          <w:b/>
          <w:i/>
          <w:color w:val="000090"/>
          <w:sz w:val="20"/>
          <w:szCs w:val="20"/>
        </w:rPr>
      </w:pPr>
    </w:p>
    <w:p w14:paraId="585C1C34" w14:textId="77777777" w:rsidR="00DE28D0" w:rsidRPr="00DE28D0" w:rsidRDefault="00DE28D0" w:rsidP="00DE28D0">
      <w:pPr>
        <w:pStyle w:val="ListParagraph"/>
        <w:rPr>
          <w:rFonts w:ascii="Verdana" w:hAnsi="Verdana"/>
          <w:b/>
          <w:color w:val="000090"/>
          <w:sz w:val="20"/>
          <w:szCs w:val="20"/>
        </w:rPr>
      </w:pPr>
      <w:r>
        <w:rPr>
          <w:rFonts w:ascii="Verdana" w:hAnsi="Verdana"/>
          <w:sz w:val="20"/>
          <w:szCs w:val="20"/>
        </w:rPr>
        <w:t>Yes</w:t>
      </w:r>
      <w:r w:rsidR="007D2E3E">
        <w:rPr>
          <w:rFonts w:ascii="Verdana" w:hAnsi="Verdana"/>
          <w:sz w:val="20"/>
          <w:szCs w:val="20"/>
        </w:rPr>
        <w:t>, to a limited extent</w:t>
      </w:r>
      <w:r>
        <w:rPr>
          <w:rFonts w:ascii="Verdana" w:hAnsi="Verdana"/>
          <w:sz w:val="20"/>
          <w:szCs w:val="20"/>
        </w:rPr>
        <w:t>. Although PC</w:t>
      </w:r>
      <w:r w:rsidR="007C7B96">
        <w:rPr>
          <w:rFonts w:ascii="Verdana" w:hAnsi="Verdana"/>
          <w:sz w:val="20"/>
          <w:szCs w:val="20"/>
        </w:rPr>
        <w:t>IP insurance</w:t>
      </w:r>
      <w:r>
        <w:rPr>
          <w:rFonts w:ascii="Verdana" w:hAnsi="Verdana"/>
          <w:sz w:val="20"/>
          <w:szCs w:val="20"/>
        </w:rPr>
        <w:t xml:space="preserve"> </w:t>
      </w:r>
      <w:r w:rsidR="007C7B96" w:rsidRPr="001A6BDF">
        <w:rPr>
          <w:rFonts w:ascii="Verdana" w:hAnsi="Verdana"/>
          <w:i/>
          <w:sz w:val="20"/>
          <w:szCs w:val="20"/>
        </w:rPr>
        <w:t>coverage</w:t>
      </w:r>
      <w:r w:rsidR="007C7B96">
        <w:rPr>
          <w:rFonts w:ascii="Verdana" w:hAnsi="Verdana"/>
          <w:sz w:val="20"/>
          <w:szCs w:val="20"/>
        </w:rPr>
        <w:t xml:space="preserve"> must end</w:t>
      </w:r>
      <w:r w:rsidR="001E1841">
        <w:rPr>
          <w:rFonts w:ascii="Verdana" w:hAnsi="Verdana"/>
          <w:sz w:val="20"/>
          <w:szCs w:val="20"/>
        </w:rPr>
        <w:t xml:space="preserve"> January 1</w:t>
      </w:r>
      <w:r w:rsidR="001E1841" w:rsidRPr="001E1841">
        <w:rPr>
          <w:rFonts w:ascii="Verdana" w:hAnsi="Verdana"/>
          <w:sz w:val="20"/>
          <w:szCs w:val="20"/>
          <w:vertAlign w:val="superscript"/>
        </w:rPr>
        <w:t>st</w:t>
      </w:r>
      <w:r w:rsidR="001E1841">
        <w:rPr>
          <w:rFonts w:ascii="Verdana" w:hAnsi="Verdana"/>
          <w:sz w:val="20"/>
          <w:szCs w:val="20"/>
        </w:rPr>
        <w:t xml:space="preserve">, </w:t>
      </w:r>
      <w:r w:rsidR="00C653E2">
        <w:rPr>
          <w:rFonts w:ascii="Verdana" w:hAnsi="Verdana"/>
          <w:sz w:val="20"/>
          <w:szCs w:val="20"/>
        </w:rPr>
        <w:t xml:space="preserve">PCIPs </w:t>
      </w:r>
      <w:r w:rsidR="007D2E3E">
        <w:rPr>
          <w:rFonts w:ascii="Verdana" w:hAnsi="Verdana"/>
          <w:sz w:val="20"/>
          <w:szCs w:val="20"/>
        </w:rPr>
        <w:t>may</w:t>
      </w:r>
      <w:r w:rsidR="001E1841">
        <w:rPr>
          <w:rFonts w:ascii="Verdana" w:hAnsi="Verdana"/>
          <w:sz w:val="20"/>
          <w:szCs w:val="20"/>
        </w:rPr>
        <w:t xml:space="preserve"> </w:t>
      </w:r>
      <w:r w:rsidR="00C653E2">
        <w:rPr>
          <w:rFonts w:ascii="Verdana" w:hAnsi="Verdana"/>
          <w:sz w:val="20"/>
          <w:szCs w:val="20"/>
        </w:rPr>
        <w:t>continue to operate</w:t>
      </w:r>
      <w:r w:rsidR="001E1841">
        <w:rPr>
          <w:rFonts w:ascii="Verdana" w:hAnsi="Verdana"/>
          <w:sz w:val="20"/>
          <w:szCs w:val="20"/>
        </w:rPr>
        <w:t xml:space="preserve"> for a “run off” period to process claims</w:t>
      </w:r>
      <w:r w:rsidR="007C7B96">
        <w:rPr>
          <w:rFonts w:ascii="Verdana" w:hAnsi="Verdana"/>
          <w:sz w:val="20"/>
          <w:szCs w:val="20"/>
        </w:rPr>
        <w:t xml:space="preserve"> from services provided prior to 2014</w:t>
      </w:r>
      <w:r w:rsidR="00C653E2">
        <w:rPr>
          <w:rFonts w:ascii="Verdana" w:hAnsi="Verdana"/>
          <w:sz w:val="20"/>
          <w:szCs w:val="20"/>
        </w:rPr>
        <w:t>,</w:t>
      </w:r>
      <w:r w:rsidR="007C7B96">
        <w:rPr>
          <w:rFonts w:ascii="Verdana" w:hAnsi="Verdana"/>
          <w:sz w:val="20"/>
          <w:szCs w:val="20"/>
        </w:rPr>
        <w:t xml:space="preserve"> and to close out existing contracts.</w:t>
      </w:r>
      <w:r w:rsidR="00806431">
        <w:rPr>
          <w:rStyle w:val="EndnoteReference"/>
          <w:rFonts w:ascii="Verdana" w:hAnsi="Verdana"/>
          <w:sz w:val="20"/>
          <w:szCs w:val="20"/>
        </w:rPr>
        <w:endnoteReference w:id="32"/>
      </w:r>
    </w:p>
    <w:p w14:paraId="60B2DCDE" w14:textId="77777777" w:rsidR="00DE28D0" w:rsidRDefault="00DE28D0" w:rsidP="00DE28D0">
      <w:pPr>
        <w:pStyle w:val="ListParagraph"/>
        <w:rPr>
          <w:rFonts w:ascii="Verdana" w:hAnsi="Verdana"/>
          <w:b/>
          <w:i/>
          <w:color w:val="000090"/>
          <w:sz w:val="20"/>
          <w:szCs w:val="20"/>
        </w:rPr>
      </w:pPr>
    </w:p>
    <w:p w14:paraId="48D012A8" w14:textId="77777777" w:rsidR="007C7CA8" w:rsidRPr="00612C3F" w:rsidRDefault="00892146" w:rsidP="00612C3F">
      <w:pPr>
        <w:rPr>
          <w:rFonts w:ascii="Verdana" w:hAnsi="Verdana"/>
          <w:b/>
          <w:i/>
          <w:color w:val="000090"/>
          <w:sz w:val="20"/>
          <w:szCs w:val="20"/>
        </w:rPr>
      </w:pPr>
      <w:r w:rsidRPr="00612C3F">
        <w:rPr>
          <w:rFonts w:ascii="Verdana" w:hAnsi="Verdana"/>
          <w:b/>
          <w:i/>
          <w:color w:val="000090"/>
          <w:sz w:val="20"/>
          <w:szCs w:val="20"/>
        </w:rPr>
        <w:t>What options are available for state</w:t>
      </w:r>
      <w:r w:rsidR="007D2E3E" w:rsidRPr="00612C3F">
        <w:rPr>
          <w:rFonts w:ascii="Verdana" w:hAnsi="Verdana"/>
          <w:b/>
          <w:i/>
          <w:color w:val="000090"/>
          <w:sz w:val="20"/>
          <w:szCs w:val="20"/>
        </w:rPr>
        <w:t>s with</w:t>
      </w:r>
      <w:r w:rsidRPr="00612C3F">
        <w:rPr>
          <w:rFonts w:ascii="Verdana" w:hAnsi="Verdana"/>
          <w:b/>
          <w:i/>
          <w:color w:val="000090"/>
          <w:sz w:val="20"/>
          <w:szCs w:val="20"/>
        </w:rPr>
        <w:t xml:space="preserve"> high risk </w:t>
      </w:r>
      <w:r w:rsidR="009F0C10" w:rsidRPr="00612C3F">
        <w:rPr>
          <w:rFonts w:ascii="Verdana" w:hAnsi="Verdana"/>
          <w:b/>
          <w:i/>
          <w:color w:val="000090"/>
          <w:sz w:val="20"/>
          <w:szCs w:val="20"/>
        </w:rPr>
        <w:t>pools</w:t>
      </w:r>
      <w:r w:rsidRPr="00612C3F">
        <w:rPr>
          <w:rFonts w:ascii="Verdana" w:hAnsi="Verdana"/>
          <w:b/>
          <w:i/>
          <w:color w:val="000090"/>
          <w:sz w:val="20"/>
          <w:szCs w:val="20"/>
        </w:rPr>
        <w:t>?</w:t>
      </w:r>
    </w:p>
    <w:p w14:paraId="716880FC" w14:textId="77777777" w:rsidR="005A7270" w:rsidRPr="006431D0" w:rsidRDefault="005A7270" w:rsidP="005A7270">
      <w:pPr>
        <w:pStyle w:val="ListParagraph"/>
        <w:rPr>
          <w:rFonts w:ascii="Verdana" w:hAnsi="Verdana"/>
          <w:b/>
          <w:i/>
          <w:color w:val="000090"/>
          <w:sz w:val="20"/>
          <w:szCs w:val="20"/>
        </w:rPr>
      </w:pPr>
    </w:p>
    <w:p w14:paraId="5B9D5D76" w14:textId="5E98A067" w:rsidR="0032261D" w:rsidRDefault="007D2E3E" w:rsidP="007C7CA8">
      <w:pPr>
        <w:pStyle w:val="ListParagraph"/>
        <w:rPr>
          <w:rFonts w:ascii="Verdana" w:hAnsi="Verdana"/>
          <w:sz w:val="20"/>
          <w:szCs w:val="20"/>
        </w:rPr>
      </w:pPr>
      <w:r>
        <w:rPr>
          <w:rFonts w:ascii="Verdana" w:hAnsi="Verdana"/>
          <w:sz w:val="20"/>
          <w:szCs w:val="20"/>
        </w:rPr>
        <w:t>Several options have been identified.</w:t>
      </w:r>
      <w:r w:rsidR="0032261D">
        <w:rPr>
          <w:rFonts w:ascii="Verdana" w:hAnsi="Verdana"/>
          <w:sz w:val="20"/>
          <w:szCs w:val="20"/>
        </w:rPr>
        <w:t xml:space="preserve"> Of the thirty-five states operating high risk pools, the current status is as follows: </w:t>
      </w:r>
      <w:r>
        <w:rPr>
          <w:rFonts w:ascii="Verdana" w:hAnsi="Verdana"/>
          <w:sz w:val="20"/>
          <w:szCs w:val="20"/>
        </w:rPr>
        <w:t xml:space="preserve">  </w:t>
      </w:r>
    </w:p>
    <w:p w14:paraId="5181FE92" w14:textId="204E6630" w:rsidR="0032261D" w:rsidRDefault="0032261D" w:rsidP="00520AF6">
      <w:pPr>
        <w:pStyle w:val="ListParagraph"/>
        <w:numPr>
          <w:ilvl w:val="0"/>
          <w:numId w:val="4"/>
        </w:numPr>
        <w:ind w:left="1080"/>
        <w:rPr>
          <w:rFonts w:ascii="Verdana" w:hAnsi="Verdana"/>
          <w:sz w:val="20"/>
          <w:szCs w:val="20"/>
        </w:rPr>
      </w:pPr>
      <w:r>
        <w:rPr>
          <w:rFonts w:ascii="Verdana" w:hAnsi="Verdana"/>
          <w:sz w:val="20"/>
          <w:szCs w:val="20"/>
        </w:rPr>
        <w:t>Eight</w:t>
      </w:r>
      <w:r w:rsidR="007568E2">
        <w:rPr>
          <w:rFonts w:ascii="Verdana" w:hAnsi="Verdana"/>
          <w:sz w:val="20"/>
          <w:szCs w:val="20"/>
        </w:rPr>
        <w:t xml:space="preserve"> </w:t>
      </w:r>
      <w:r w:rsidR="007D2E3E">
        <w:rPr>
          <w:rFonts w:ascii="Verdana" w:hAnsi="Verdana"/>
          <w:sz w:val="20"/>
          <w:szCs w:val="20"/>
        </w:rPr>
        <w:t xml:space="preserve">states intend to </w:t>
      </w:r>
      <w:r>
        <w:rPr>
          <w:rFonts w:ascii="Verdana" w:hAnsi="Verdana"/>
          <w:sz w:val="20"/>
          <w:szCs w:val="20"/>
        </w:rPr>
        <w:t xml:space="preserve">close </w:t>
      </w:r>
      <w:r w:rsidR="007D2E3E">
        <w:rPr>
          <w:rFonts w:ascii="Verdana" w:hAnsi="Verdana"/>
          <w:sz w:val="20"/>
          <w:szCs w:val="20"/>
        </w:rPr>
        <w:t xml:space="preserve">operations and transition all members to health exchanges on January of 2014. </w:t>
      </w:r>
    </w:p>
    <w:p w14:paraId="5F1EEBB1" w14:textId="57448D65" w:rsidR="00DC0DD3" w:rsidRPr="00DC0DD3" w:rsidRDefault="00DC0DD3" w:rsidP="00520AF6">
      <w:pPr>
        <w:pStyle w:val="ListParagraph"/>
        <w:numPr>
          <w:ilvl w:val="0"/>
          <w:numId w:val="4"/>
        </w:numPr>
        <w:ind w:left="1080"/>
        <w:rPr>
          <w:rFonts w:ascii="Verdana" w:hAnsi="Verdana"/>
          <w:sz w:val="20"/>
          <w:szCs w:val="20"/>
        </w:rPr>
      </w:pPr>
      <w:r w:rsidRPr="00DC0DD3">
        <w:rPr>
          <w:rFonts w:ascii="Verdana" w:hAnsi="Verdana"/>
          <w:sz w:val="20"/>
          <w:szCs w:val="20"/>
        </w:rPr>
        <w:t>An additional two states are likely to close operations.</w:t>
      </w:r>
    </w:p>
    <w:p w14:paraId="22DA3F83" w14:textId="0BD22FF2" w:rsidR="0032261D" w:rsidRDefault="007568E2" w:rsidP="00520AF6">
      <w:pPr>
        <w:pStyle w:val="ListParagraph"/>
        <w:numPr>
          <w:ilvl w:val="0"/>
          <w:numId w:val="4"/>
        </w:numPr>
        <w:ind w:left="1080"/>
        <w:rPr>
          <w:rFonts w:ascii="Verdana" w:hAnsi="Verdana"/>
          <w:sz w:val="20"/>
          <w:szCs w:val="20"/>
        </w:rPr>
      </w:pPr>
      <w:r>
        <w:rPr>
          <w:rFonts w:ascii="Verdana" w:hAnsi="Verdana"/>
          <w:sz w:val="20"/>
          <w:szCs w:val="20"/>
        </w:rPr>
        <w:t xml:space="preserve">Three </w:t>
      </w:r>
      <w:r w:rsidR="007D2E3E">
        <w:rPr>
          <w:rFonts w:ascii="Verdana" w:hAnsi="Verdana"/>
          <w:sz w:val="20"/>
          <w:szCs w:val="20"/>
        </w:rPr>
        <w:t>states intend to c</w:t>
      </w:r>
      <w:r w:rsidR="0032261D">
        <w:rPr>
          <w:rFonts w:ascii="Verdana" w:hAnsi="Verdana"/>
          <w:sz w:val="20"/>
          <w:szCs w:val="20"/>
        </w:rPr>
        <w:t>ease</w:t>
      </w:r>
      <w:r w:rsidR="007D2E3E">
        <w:rPr>
          <w:rFonts w:ascii="Verdana" w:hAnsi="Verdana"/>
          <w:sz w:val="20"/>
          <w:szCs w:val="20"/>
        </w:rPr>
        <w:t xml:space="preserve"> enrollment in high risk pools on January 1,</w:t>
      </w:r>
      <w:r w:rsidR="00520AF6">
        <w:rPr>
          <w:rFonts w:ascii="Verdana" w:hAnsi="Verdana"/>
          <w:sz w:val="20"/>
          <w:szCs w:val="20"/>
        </w:rPr>
        <w:t xml:space="preserve"> 2014</w:t>
      </w:r>
      <w:r w:rsidR="007D2E3E">
        <w:rPr>
          <w:rFonts w:ascii="Verdana" w:hAnsi="Verdana"/>
          <w:sz w:val="20"/>
          <w:szCs w:val="20"/>
        </w:rPr>
        <w:t xml:space="preserve"> but </w:t>
      </w:r>
      <w:r w:rsidR="00DC0DD3">
        <w:rPr>
          <w:rFonts w:ascii="Verdana" w:hAnsi="Verdana"/>
          <w:sz w:val="20"/>
          <w:szCs w:val="20"/>
        </w:rPr>
        <w:t>will</w:t>
      </w:r>
      <w:r w:rsidR="007D2E3E">
        <w:rPr>
          <w:rFonts w:ascii="Verdana" w:hAnsi="Verdana"/>
          <w:sz w:val="20"/>
          <w:szCs w:val="20"/>
        </w:rPr>
        <w:t xml:space="preserve"> continue providing coverage temporarily to ease the transition to state health exchanges. </w:t>
      </w:r>
    </w:p>
    <w:p w14:paraId="437D85CE" w14:textId="015FE28B" w:rsidR="0032261D" w:rsidRDefault="0032261D" w:rsidP="00520AF6">
      <w:pPr>
        <w:pStyle w:val="ListParagraph"/>
        <w:numPr>
          <w:ilvl w:val="0"/>
          <w:numId w:val="4"/>
        </w:numPr>
        <w:ind w:left="1080"/>
        <w:rPr>
          <w:rFonts w:ascii="Verdana" w:hAnsi="Verdana"/>
          <w:sz w:val="20"/>
          <w:szCs w:val="20"/>
        </w:rPr>
      </w:pPr>
      <w:r>
        <w:rPr>
          <w:rFonts w:ascii="Verdana" w:hAnsi="Verdana"/>
          <w:sz w:val="20"/>
          <w:szCs w:val="20"/>
        </w:rPr>
        <w:t xml:space="preserve">Three </w:t>
      </w:r>
      <w:r w:rsidR="007D2E3E">
        <w:rPr>
          <w:rFonts w:ascii="Verdana" w:hAnsi="Verdana"/>
          <w:sz w:val="20"/>
          <w:szCs w:val="20"/>
        </w:rPr>
        <w:t xml:space="preserve">states </w:t>
      </w:r>
      <w:r w:rsidR="00AF0E9E">
        <w:rPr>
          <w:rFonts w:ascii="Verdana" w:hAnsi="Verdana"/>
          <w:sz w:val="20"/>
          <w:szCs w:val="20"/>
        </w:rPr>
        <w:t xml:space="preserve">are </w:t>
      </w:r>
      <w:r w:rsidR="00BF24AE">
        <w:rPr>
          <w:rFonts w:ascii="Verdana" w:hAnsi="Verdana"/>
          <w:sz w:val="20"/>
          <w:szCs w:val="20"/>
        </w:rPr>
        <w:t>planning</w:t>
      </w:r>
      <w:r w:rsidR="00AF0E9E">
        <w:rPr>
          <w:rFonts w:ascii="Verdana" w:hAnsi="Verdana"/>
          <w:sz w:val="20"/>
          <w:szCs w:val="20"/>
        </w:rPr>
        <w:t xml:space="preserve"> to </w:t>
      </w:r>
      <w:r>
        <w:rPr>
          <w:rFonts w:ascii="Verdana" w:hAnsi="Verdana"/>
          <w:sz w:val="20"/>
          <w:szCs w:val="20"/>
        </w:rPr>
        <w:t xml:space="preserve">continue operating </w:t>
      </w:r>
      <w:r w:rsidR="00AF0E9E">
        <w:rPr>
          <w:rFonts w:ascii="Verdana" w:hAnsi="Verdana"/>
          <w:sz w:val="20"/>
          <w:szCs w:val="20"/>
        </w:rPr>
        <w:t xml:space="preserve">at least some populations for the foreseeable future. </w:t>
      </w:r>
    </w:p>
    <w:p w14:paraId="639EA9A7" w14:textId="1985FC9B" w:rsidR="0032261D" w:rsidRDefault="0032261D" w:rsidP="00520AF6">
      <w:pPr>
        <w:pStyle w:val="ListParagraph"/>
        <w:numPr>
          <w:ilvl w:val="0"/>
          <w:numId w:val="4"/>
        </w:numPr>
        <w:ind w:left="1080"/>
        <w:rPr>
          <w:rFonts w:ascii="Verdana" w:hAnsi="Verdana"/>
          <w:sz w:val="20"/>
          <w:szCs w:val="20"/>
        </w:rPr>
      </w:pPr>
      <w:r>
        <w:rPr>
          <w:rFonts w:ascii="Verdana" w:hAnsi="Verdana"/>
          <w:sz w:val="20"/>
          <w:szCs w:val="20"/>
        </w:rPr>
        <w:t>Two states are considering operating as a reinsurance program</w:t>
      </w:r>
      <w:r w:rsidR="00DC0DD3">
        <w:rPr>
          <w:rFonts w:ascii="Verdana" w:hAnsi="Verdana"/>
          <w:sz w:val="20"/>
          <w:szCs w:val="20"/>
        </w:rPr>
        <w:t>.</w:t>
      </w:r>
    </w:p>
    <w:p w14:paraId="27935148" w14:textId="0CE1C1B6" w:rsidR="0032261D" w:rsidRDefault="0032261D" w:rsidP="00520AF6">
      <w:pPr>
        <w:pStyle w:val="ListParagraph"/>
        <w:numPr>
          <w:ilvl w:val="0"/>
          <w:numId w:val="4"/>
        </w:numPr>
        <w:ind w:left="1080"/>
        <w:rPr>
          <w:rFonts w:ascii="Verdana" w:hAnsi="Verdana"/>
          <w:sz w:val="20"/>
          <w:szCs w:val="20"/>
        </w:rPr>
      </w:pPr>
      <w:r>
        <w:rPr>
          <w:rFonts w:ascii="Verdana" w:hAnsi="Verdana"/>
          <w:sz w:val="20"/>
          <w:szCs w:val="20"/>
        </w:rPr>
        <w:t>Seven states intend to utilize a mix of options such as con</w:t>
      </w:r>
      <w:r w:rsidR="00DC0DD3">
        <w:rPr>
          <w:rFonts w:ascii="Verdana" w:hAnsi="Verdana"/>
          <w:sz w:val="20"/>
          <w:szCs w:val="20"/>
        </w:rPr>
        <w:t xml:space="preserve">tinuing operations temporarily and </w:t>
      </w:r>
      <w:r w:rsidR="00696542">
        <w:rPr>
          <w:rFonts w:ascii="Verdana" w:hAnsi="Verdana"/>
          <w:sz w:val="20"/>
          <w:szCs w:val="20"/>
        </w:rPr>
        <w:t>considering operating as a reinsurance program</w:t>
      </w:r>
      <w:r w:rsidR="00F929B2">
        <w:rPr>
          <w:rFonts w:ascii="Verdana" w:hAnsi="Verdana"/>
          <w:sz w:val="20"/>
          <w:szCs w:val="20"/>
        </w:rPr>
        <w:t xml:space="preserve">. </w:t>
      </w:r>
      <w:r w:rsidR="00DC0DD3">
        <w:rPr>
          <w:rFonts w:ascii="Verdana" w:hAnsi="Verdana"/>
          <w:sz w:val="20"/>
          <w:szCs w:val="20"/>
        </w:rPr>
        <w:t>For example, Mississippi plans to cease new enrollment on January 1 (with an undefined transition period) but is also considering using its high risk pool as a reinsurance program.</w:t>
      </w:r>
      <w:r w:rsidR="00DC0DD3">
        <w:rPr>
          <w:rStyle w:val="EndnoteReference"/>
          <w:rFonts w:ascii="Verdana" w:hAnsi="Verdana"/>
          <w:sz w:val="20"/>
          <w:szCs w:val="20"/>
        </w:rPr>
        <w:endnoteReference w:id="33"/>
      </w:r>
    </w:p>
    <w:p w14:paraId="5129281A" w14:textId="1B0DC982" w:rsidR="007C7CA8" w:rsidRPr="00F929B2" w:rsidRDefault="00F929B2" w:rsidP="00DC0DD3">
      <w:pPr>
        <w:pStyle w:val="ListParagraph"/>
        <w:numPr>
          <w:ilvl w:val="0"/>
          <w:numId w:val="4"/>
        </w:numPr>
        <w:ind w:left="1080"/>
        <w:rPr>
          <w:rFonts w:ascii="Verdana" w:hAnsi="Verdana"/>
          <w:sz w:val="20"/>
          <w:szCs w:val="20"/>
        </w:rPr>
      </w:pPr>
      <w:r w:rsidRPr="00F929B2">
        <w:rPr>
          <w:rFonts w:ascii="Verdana" w:hAnsi="Verdana"/>
          <w:sz w:val="20"/>
          <w:szCs w:val="20"/>
        </w:rPr>
        <w:t>Ten states</w:t>
      </w:r>
      <w:r>
        <w:rPr>
          <w:rFonts w:ascii="Verdana" w:hAnsi="Verdana"/>
          <w:sz w:val="20"/>
          <w:szCs w:val="20"/>
        </w:rPr>
        <w:t xml:space="preserve"> </w:t>
      </w:r>
      <w:r w:rsidR="00AF0E9E" w:rsidRPr="00520AF6">
        <w:rPr>
          <w:rFonts w:ascii="Verdana" w:hAnsi="Verdana"/>
          <w:sz w:val="20"/>
          <w:szCs w:val="20"/>
        </w:rPr>
        <w:t>have no specific indication of their future plans on their high risk pools.</w:t>
      </w:r>
      <w:r w:rsidR="00AF0E9E" w:rsidRPr="00F929B2">
        <w:rPr>
          <w:rFonts w:ascii="Verdana" w:hAnsi="Verdana"/>
          <w:sz w:val="20"/>
          <w:szCs w:val="20"/>
        </w:rPr>
        <w:t xml:space="preserve">  </w:t>
      </w:r>
    </w:p>
    <w:p w14:paraId="5F069CB5" w14:textId="545F93F2" w:rsidR="007C7CA8" w:rsidRPr="00612C3F" w:rsidRDefault="00892146" w:rsidP="00612C3F">
      <w:pPr>
        <w:rPr>
          <w:rFonts w:ascii="Verdana" w:hAnsi="Verdana"/>
          <w:b/>
          <w:i/>
          <w:color w:val="000090"/>
          <w:sz w:val="20"/>
          <w:szCs w:val="20"/>
        </w:rPr>
      </w:pPr>
      <w:r w:rsidRPr="00612C3F">
        <w:rPr>
          <w:rFonts w:ascii="Verdana" w:hAnsi="Verdana"/>
          <w:b/>
          <w:i/>
          <w:color w:val="000090"/>
          <w:sz w:val="20"/>
          <w:szCs w:val="20"/>
        </w:rPr>
        <w:lastRenderedPageBreak/>
        <w:t>If a state continues to offer a high risk pool, will it need to make changes?</w:t>
      </w:r>
    </w:p>
    <w:p w14:paraId="1BB6C750" w14:textId="71BB9F0D" w:rsidR="005A7270" w:rsidRDefault="005A7270" w:rsidP="00520AF6">
      <w:pPr>
        <w:pStyle w:val="ListParagraph"/>
        <w:rPr>
          <w:rFonts w:ascii="Verdana" w:hAnsi="Verdana"/>
          <w:b/>
          <w:i/>
          <w:color w:val="000090"/>
          <w:sz w:val="20"/>
          <w:szCs w:val="20"/>
        </w:rPr>
      </w:pPr>
    </w:p>
    <w:p w14:paraId="4E090FB2" w14:textId="20928E64" w:rsidR="007C7B96" w:rsidRPr="007C7B96" w:rsidRDefault="007C7B96" w:rsidP="00520AF6">
      <w:pPr>
        <w:pStyle w:val="ListParagraph"/>
        <w:rPr>
          <w:rFonts w:ascii="Verdana" w:hAnsi="Verdana"/>
          <w:b/>
          <w:color w:val="000090"/>
          <w:sz w:val="20"/>
          <w:szCs w:val="20"/>
        </w:rPr>
      </w:pPr>
      <w:r>
        <w:rPr>
          <w:rFonts w:ascii="Verdana" w:hAnsi="Verdana"/>
          <w:sz w:val="20"/>
          <w:szCs w:val="20"/>
        </w:rPr>
        <w:t xml:space="preserve">Possibly. Although state-operated high risk pools may be able to qualify for the “grandfathering” provisions under the ACA, they will still be required to comply with certain other provisions. All health insurance plans, including “grandfathered” plans must allow extension of a parent’s coverage to any adult children under the age of 26, and may </w:t>
      </w:r>
      <w:r w:rsidRPr="007C7B96">
        <w:rPr>
          <w:rFonts w:ascii="Verdana" w:hAnsi="Verdana"/>
          <w:i/>
          <w:sz w:val="20"/>
          <w:szCs w:val="20"/>
        </w:rPr>
        <w:t>not</w:t>
      </w:r>
      <w:r>
        <w:rPr>
          <w:rFonts w:ascii="Verdana" w:hAnsi="Verdana"/>
          <w:sz w:val="20"/>
          <w:szCs w:val="20"/>
        </w:rPr>
        <w:t xml:space="preserve"> place lifetime limits on coverage, rescind coverage for unintentional mistakes on an insurance application</w:t>
      </w:r>
      <w:r w:rsidR="00A17206">
        <w:rPr>
          <w:rFonts w:ascii="Verdana" w:hAnsi="Verdana"/>
          <w:sz w:val="20"/>
          <w:szCs w:val="20"/>
        </w:rPr>
        <w:t>, or have a waiting period of more than 90 days.</w:t>
      </w:r>
      <w:r w:rsidR="00806431">
        <w:rPr>
          <w:rStyle w:val="EndnoteReference"/>
          <w:rFonts w:ascii="Verdana" w:hAnsi="Verdana"/>
          <w:sz w:val="20"/>
          <w:szCs w:val="20"/>
        </w:rPr>
        <w:endnoteReference w:id="34"/>
      </w:r>
      <w:r w:rsidR="00A17206">
        <w:rPr>
          <w:rFonts w:ascii="Verdana" w:hAnsi="Verdana"/>
          <w:sz w:val="20"/>
          <w:szCs w:val="20"/>
        </w:rPr>
        <w:t xml:space="preserve"> </w:t>
      </w:r>
      <w:r w:rsidR="00D64E47">
        <w:rPr>
          <w:rFonts w:ascii="Verdana" w:hAnsi="Verdana"/>
          <w:sz w:val="20"/>
          <w:szCs w:val="20"/>
        </w:rPr>
        <w:t>Certain changes, such as the elimination of benefits or an increase in copayments, may cause a plan to lose its “grandfathered” status</w:t>
      </w:r>
      <w:r w:rsidR="00C93090">
        <w:rPr>
          <w:rFonts w:ascii="Verdana" w:hAnsi="Verdana"/>
          <w:sz w:val="20"/>
          <w:szCs w:val="20"/>
        </w:rPr>
        <w:t>;</w:t>
      </w:r>
      <w:r w:rsidR="00D64E47">
        <w:rPr>
          <w:rFonts w:ascii="Verdana" w:hAnsi="Verdana"/>
          <w:sz w:val="20"/>
          <w:szCs w:val="20"/>
        </w:rPr>
        <w:t xml:space="preserve"> </w:t>
      </w:r>
      <w:r w:rsidR="008A44B8">
        <w:rPr>
          <w:rFonts w:ascii="Verdana" w:hAnsi="Verdana"/>
          <w:sz w:val="20"/>
          <w:szCs w:val="20"/>
        </w:rPr>
        <w:t>at which point the plan would be required to fulfill all ACA requirements (such as required benefits</w:t>
      </w:r>
      <w:r w:rsidR="00B215D5">
        <w:rPr>
          <w:rFonts w:ascii="Verdana" w:hAnsi="Verdana"/>
          <w:sz w:val="20"/>
          <w:szCs w:val="20"/>
        </w:rPr>
        <w:t xml:space="preserve"> and limits on cost sharing).</w:t>
      </w:r>
      <w:r w:rsidR="00D64E47">
        <w:rPr>
          <w:rFonts w:ascii="Verdana" w:hAnsi="Verdana"/>
          <w:sz w:val="20"/>
          <w:szCs w:val="20"/>
        </w:rPr>
        <w:t xml:space="preserve">  </w:t>
      </w:r>
    </w:p>
    <w:p w14:paraId="4CABEC04" w14:textId="4FCDE833" w:rsidR="00892146" w:rsidRPr="006431D0" w:rsidRDefault="00892146" w:rsidP="00520AF6">
      <w:pPr>
        <w:pStyle w:val="ListParagraph"/>
        <w:rPr>
          <w:rFonts w:ascii="Verdana" w:hAnsi="Verdana"/>
          <w:sz w:val="20"/>
          <w:szCs w:val="20"/>
        </w:rPr>
      </w:pPr>
    </w:p>
    <w:p w14:paraId="7A8A32CF" w14:textId="1350B3A8" w:rsidR="007C7CA8" w:rsidRPr="00612C3F" w:rsidRDefault="00892146" w:rsidP="00612C3F">
      <w:pPr>
        <w:rPr>
          <w:rFonts w:ascii="Verdana" w:hAnsi="Verdana"/>
          <w:b/>
          <w:i/>
          <w:color w:val="000090"/>
          <w:sz w:val="20"/>
          <w:szCs w:val="20"/>
        </w:rPr>
      </w:pPr>
      <w:r w:rsidRPr="00612C3F">
        <w:rPr>
          <w:rFonts w:ascii="Verdana" w:hAnsi="Verdana"/>
          <w:b/>
          <w:i/>
          <w:color w:val="000090"/>
          <w:sz w:val="20"/>
          <w:szCs w:val="20"/>
        </w:rPr>
        <w:t>Are there potential coverage</w:t>
      </w:r>
      <w:r w:rsidR="00C653E2" w:rsidRPr="00612C3F">
        <w:rPr>
          <w:rFonts w:ascii="Verdana" w:hAnsi="Verdana"/>
          <w:b/>
          <w:i/>
          <w:color w:val="000090"/>
          <w:sz w:val="20"/>
          <w:szCs w:val="20"/>
        </w:rPr>
        <w:t xml:space="preserve"> or affordability</w:t>
      </w:r>
      <w:r w:rsidRPr="00612C3F">
        <w:rPr>
          <w:rFonts w:ascii="Verdana" w:hAnsi="Verdana"/>
          <w:b/>
          <w:i/>
          <w:color w:val="000090"/>
          <w:sz w:val="20"/>
          <w:szCs w:val="20"/>
        </w:rPr>
        <w:t xml:space="preserve"> gaps </w:t>
      </w:r>
      <w:r w:rsidR="00C653E2" w:rsidRPr="00612C3F">
        <w:rPr>
          <w:rFonts w:ascii="Verdana" w:hAnsi="Verdana"/>
          <w:b/>
          <w:i/>
          <w:color w:val="000090"/>
          <w:sz w:val="20"/>
          <w:szCs w:val="20"/>
        </w:rPr>
        <w:t>in the ACA system</w:t>
      </w:r>
      <w:r w:rsidRPr="00612C3F">
        <w:rPr>
          <w:rFonts w:ascii="Verdana" w:hAnsi="Verdana"/>
          <w:b/>
          <w:i/>
          <w:color w:val="000090"/>
          <w:sz w:val="20"/>
          <w:szCs w:val="20"/>
        </w:rPr>
        <w:t>?</w:t>
      </w:r>
    </w:p>
    <w:p w14:paraId="22CC3BD7" w14:textId="1A08E902" w:rsidR="005A7270" w:rsidRDefault="005A7270" w:rsidP="00520AF6">
      <w:pPr>
        <w:pStyle w:val="ListParagraph"/>
        <w:rPr>
          <w:rFonts w:ascii="Verdana" w:hAnsi="Verdana"/>
          <w:b/>
          <w:i/>
          <w:color w:val="000090"/>
          <w:sz w:val="20"/>
          <w:szCs w:val="20"/>
        </w:rPr>
      </w:pPr>
    </w:p>
    <w:p w14:paraId="10207EB3" w14:textId="316D5816" w:rsidR="00AF0E9E" w:rsidRPr="006431D0" w:rsidRDefault="00AF0E9E" w:rsidP="00520AF6">
      <w:pPr>
        <w:pStyle w:val="ListParagraph"/>
        <w:rPr>
          <w:rFonts w:ascii="Verdana" w:hAnsi="Verdana"/>
          <w:b/>
          <w:i/>
          <w:color w:val="000090"/>
          <w:sz w:val="20"/>
          <w:szCs w:val="20"/>
        </w:rPr>
      </w:pPr>
      <w:r>
        <w:rPr>
          <w:rFonts w:ascii="Verdana" w:hAnsi="Verdana"/>
          <w:sz w:val="20"/>
          <w:szCs w:val="20"/>
        </w:rPr>
        <w:t xml:space="preserve">Yes. </w:t>
      </w:r>
      <w:r w:rsidR="003337E4">
        <w:rPr>
          <w:rFonts w:ascii="Verdana" w:hAnsi="Verdana"/>
          <w:sz w:val="20"/>
          <w:szCs w:val="20"/>
        </w:rPr>
        <w:t>Although exchange plans are subsidized for individuals with incomes between 100% and 400% of federal poverty level, some patients may still find exchange plans unaffordable, either because the subsidy is insufficient or because they do not qualify.</w:t>
      </w:r>
      <w:r>
        <w:rPr>
          <w:rFonts w:ascii="Verdana" w:hAnsi="Verdana"/>
          <w:sz w:val="20"/>
          <w:szCs w:val="20"/>
        </w:rPr>
        <w:t xml:space="preserve"> </w:t>
      </w:r>
      <w:r w:rsidR="003337E4">
        <w:rPr>
          <w:rFonts w:ascii="Verdana" w:hAnsi="Verdana"/>
          <w:sz w:val="20"/>
          <w:szCs w:val="20"/>
        </w:rPr>
        <w:t xml:space="preserve">Additionally, </w:t>
      </w:r>
      <w:r w:rsidR="00C93090">
        <w:rPr>
          <w:rFonts w:ascii="Verdana" w:hAnsi="Verdana"/>
          <w:sz w:val="20"/>
          <w:szCs w:val="20"/>
        </w:rPr>
        <w:t xml:space="preserve">some </w:t>
      </w:r>
      <w:r w:rsidR="003337E4">
        <w:rPr>
          <w:rFonts w:ascii="Verdana" w:hAnsi="Verdana"/>
          <w:sz w:val="20"/>
          <w:szCs w:val="20"/>
        </w:rPr>
        <w:t xml:space="preserve">individuals with incomes below 100% do not qualify for exchange subsidies, and may not be eligible for Medicaid coverage in states that do not choose to expand. </w:t>
      </w:r>
      <w:r w:rsidR="002E6E2A">
        <w:rPr>
          <w:rFonts w:ascii="Verdana" w:hAnsi="Verdana"/>
          <w:sz w:val="20"/>
          <w:szCs w:val="20"/>
        </w:rPr>
        <w:t>State high risk pools may also be less costly for individuals in certain income and age brackets. Finally, undocumented immigrants are not eligible to participate in Medicaid or state exchanges (for more on immigrants, see the NASTAD issue brief)</w:t>
      </w:r>
      <w:r w:rsidR="00806431">
        <w:rPr>
          <w:rFonts w:ascii="Verdana" w:hAnsi="Verdana"/>
          <w:sz w:val="20"/>
          <w:szCs w:val="20"/>
        </w:rPr>
        <w:t>.</w:t>
      </w:r>
    </w:p>
    <w:p w14:paraId="49A95977" w14:textId="27EA4614" w:rsidR="007C7CA8" w:rsidRPr="006431D0" w:rsidRDefault="007C7CA8" w:rsidP="00520AF6">
      <w:pPr>
        <w:pStyle w:val="ListParagraph"/>
        <w:rPr>
          <w:rFonts w:ascii="Verdana" w:hAnsi="Verdana"/>
          <w:sz w:val="20"/>
          <w:szCs w:val="20"/>
        </w:rPr>
      </w:pPr>
    </w:p>
    <w:p w14:paraId="00DA0C2A" w14:textId="4504433D" w:rsidR="007C7CA8" w:rsidRPr="00612C3F" w:rsidRDefault="00892146" w:rsidP="00612C3F">
      <w:pPr>
        <w:rPr>
          <w:rFonts w:ascii="Verdana" w:hAnsi="Verdana"/>
          <w:b/>
          <w:i/>
          <w:color w:val="000090"/>
          <w:sz w:val="20"/>
          <w:szCs w:val="20"/>
        </w:rPr>
      </w:pPr>
      <w:r w:rsidRPr="00612C3F">
        <w:rPr>
          <w:rFonts w:ascii="Verdana" w:hAnsi="Verdana"/>
          <w:b/>
          <w:i/>
          <w:color w:val="000090"/>
          <w:sz w:val="20"/>
          <w:szCs w:val="20"/>
        </w:rPr>
        <w:t>Can ADAP offer premium assistance</w:t>
      </w:r>
      <w:r w:rsidR="00274128" w:rsidRPr="00612C3F">
        <w:rPr>
          <w:rFonts w:ascii="Verdana" w:hAnsi="Verdana"/>
          <w:b/>
          <w:i/>
          <w:color w:val="000090"/>
          <w:sz w:val="20"/>
          <w:szCs w:val="20"/>
        </w:rPr>
        <w:t xml:space="preserve"> for state exchange plans</w:t>
      </w:r>
      <w:r w:rsidRPr="00612C3F">
        <w:rPr>
          <w:rFonts w:ascii="Verdana" w:hAnsi="Verdana"/>
          <w:b/>
          <w:i/>
          <w:color w:val="000090"/>
          <w:sz w:val="20"/>
          <w:szCs w:val="20"/>
        </w:rPr>
        <w:t>?</w:t>
      </w:r>
    </w:p>
    <w:p w14:paraId="48116A3E" w14:textId="4F94506E" w:rsidR="005A7270" w:rsidRDefault="005A7270" w:rsidP="00520AF6">
      <w:pPr>
        <w:pStyle w:val="ListParagraph"/>
        <w:rPr>
          <w:rFonts w:ascii="Verdana" w:hAnsi="Verdana"/>
          <w:b/>
          <w:i/>
          <w:color w:val="000090"/>
          <w:sz w:val="20"/>
          <w:szCs w:val="20"/>
        </w:rPr>
      </w:pPr>
    </w:p>
    <w:p w14:paraId="5F25B533" w14:textId="47E64260" w:rsidR="003337E4" w:rsidRPr="003337E4" w:rsidRDefault="003337E4" w:rsidP="00520AF6">
      <w:pPr>
        <w:pStyle w:val="ListParagraph"/>
        <w:rPr>
          <w:rFonts w:ascii="Verdana" w:hAnsi="Verdana"/>
          <w:color w:val="000090"/>
          <w:sz w:val="20"/>
          <w:szCs w:val="20"/>
        </w:rPr>
      </w:pPr>
      <w:r>
        <w:rPr>
          <w:rFonts w:ascii="Verdana" w:hAnsi="Verdana"/>
          <w:sz w:val="20"/>
          <w:szCs w:val="20"/>
        </w:rPr>
        <w:t>Most likely</w:t>
      </w:r>
      <w:r w:rsidR="00603840">
        <w:rPr>
          <w:rFonts w:ascii="Verdana" w:hAnsi="Verdana"/>
          <w:sz w:val="20"/>
          <w:szCs w:val="20"/>
        </w:rPr>
        <w:t>, at least on the federal level</w:t>
      </w:r>
      <w:r>
        <w:rPr>
          <w:rFonts w:ascii="Verdana" w:hAnsi="Verdana"/>
          <w:sz w:val="20"/>
          <w:szCs w:val="20"/>
        </w:rPr>
        <w:t>. There has been no official regulation either allowing or disallowing ADAP from offering premium assistance for state exchange programs.</w:t>
      </w:r>
      <w:r w:rsidR="00603840">
        <w:rPr>
          <w:rFonts w:ascii="Verdana" w:hAnsi="Verdana"/>
          <w:sz w:val="20"/>
          <w:szCs w:val="20"/>
        </w:rPr>
        <w:t xml:space="preserve"> ADAP is authorized by statute to provide premium assistance to its clients.</w:t>
      </w:r>
      <w:r w:rsidR="00806431">
        <w:rPr>
          <w:rStyle w:val="EndnoteReference"/>
          <w:rFonts w:ascii="Verdana" w:hAnsi="Verdana"/>
          <w:sz w:val="20"/>
          <w:szCs w:val="20"/>
        </w:rPr>
        <w:endnoteReference w:id="35"/>
      </w:r>
      <w:r>
        <w:rPr>
          <w:rFonts w:ascii="Verdana" w:hAnsi="Verdana"/>
          <w:sz w:val="20"/>
          <w:szCs w:val="20"/>
        </w:rPr>
        <w:t xml:space="preserve"> </w:t>
      </w:r>
      <w:r w:rsidR="00603840">
        <w:rPr>
          <w:rFonts w:ascii="Verdana" w:hAnsi="Verdana"/>
          <w:sz w:val="20"/>
          <w:szCs w:val="20"/>
        </w:rPr>
        <w:t>Nonetheless</w:t>
      </w:r>
      <w:r>
        <w:rPr>
          <w:rFonts w:ascii="Verdana" w:hAnsi="Verdana"/>
          <w:sz w:val="20"/>
          <w:szCs w:val="20"/>
        </w:rPr>
        <w:t>,</w:t>
      </w:r>
      <w:r w:rsidR="00603840">
        <w:rPr>
          <w:rFonts w:ascii="Verdana" w:hAnsi="Verdana"/>
          <w:sz w:val="20"/>
          <w:szCs w:val="20"/>
        </w:rPr>
        <w:t xml:space="preserve"> in considering whether to allow third-parties (including ADAP) to pay PCIP premiums,</w:t>
      </w:r>
      <w:r>
        <w:rPr>
          <w:rFonts w:ascii="Verdana" w:hAnsi="Verdana"/>
          <w:sz w:val="20"/>
          <w:szCs w:val="20"/>
        </w:rPr>
        <w:t xml:space="preserve"> HHS </w:t>
      </w:r>
      <w:r w:rsidR="00603840">
        <w:rPr>
          <w:rFonts w:ascii="Verdana" w:hAnsi="Verdana"/>
          <w:sz w:val="20"/>
          <w:szCs w:val="20"/>
        </w:rPr>
        <w:t xml:space="preserve">expressed concern over the possibility of “dumping” of costly </w:t>
      </w:r>
      <w:r w:rsidR="00603840">
        <w:rPr>
          <w:rFonts w:ascii="Verdana" w:hAnsi="Verdana"/>
          <w:sz w:val="20"/>
          <w:szCs w:val="20"/>
        </w:rPr>
        <w:lastRenderedPageBreak/>
        <w:t>patients and stated that it would closely monitor third party payers.</w:t>
      </w:r>
      <w:r w:rsidR="00806431">
        <w:rPr>
          <w:rStyle w:val="EndnoteReference"/>
          <w:rFonts w:ascii="Verdana" w:hAnsi="Verdana"/>
          <w:sz w:val="20"/>
          <w:szCs w:val="20"/>
        </w:rPr>
        <w:endnoteReference w:id="36"/>
      </w:r>
      <w:r w:rsidR="00603840">
        <w:rPr>
          <w:rFonts w:ascii="Verdana" w:hAnsi="Verdana"/>
          <w:sz w:val="20"/>
          <w:szCs w:val="20"/>
        </w:rPr>
        <w:t xml:space="preserve"> However, HHS did ultimately allow</w:t>
      </w:r>
      <w:r>
        <w:rPr>
          <w:rFonts w:ascii="Verdana" w:hAnsi="Verdana"/>
          <w:sz w:val="20"/>
          <w:szCs w:val="20"/>
        </w:rPr>
        <w:t xml:space="preserve"> third parties (including ADAP) to provide premium assistance for PCIPs</w:t>
      </w:r>
      <w:r w:rsidR="00603840">
        <w:rPr>
          <w:rFonts w:ascii="Verdana" w:hAnsi="Verdana"/>
          <w:sz w:val="20"/>
          <w:szCs w:val="20"/>
        </w:rPr>
        <w:t>, and the structure of state health exchanges makes dumping less of a concern. Of course, individual states may still choose not to provide premium assistance (as many do not currently enroll ADAP clients in PCIPs, high risk pools, or Medicaid currently).</w:t>
      </w:r>
    </w:p>
    <w:p w14:paraId="44A54151" w14:textId="77777777" w:rsidR="007C7CA8" w:rsidRDefault="007C7CA8" w:rsidP="007C7CA8">
      <w:pPr>
        <w:pStyle w:val="ListParagraph"/>
        <w:rPr>
          <w:rFonts w:ascii="Verdana" w:hAnsi="Verdana"/>
          <w:sz w:val="20"/>
          <w:szCs w:val="20"/>
        </w:rPr>
      </w:pPr>
    </w:p>
    <w:p w14:paraId="12C78776" w14:textId="77777777" w:rsidR="001A6BDF" w:rsidRDefault="001A6BDF" w:rsidP="007C7CA8">
      <w:pPr>
        <w:pStyle w:val="ListParagraph"/>
        <w:rPr>
          <w:rFonts w:ascii="Verdana" w:hAnsi="Verdana"/>
          <w:sz w:val="20"/>
          <w:szCs w:val="20"/>
        </w:rPr>
      </w:pPr>
    </w:p>
    <w:p w14:paraId="0BA474D7" w14:textId="77777777" w:rsidR="00C653E2" w:rsidRPr="00612C3F" w:rsidRDefault="00C653E2" w:rsidP="00612C3F">
      <w:pPr>
        <w:rPr>
          <w:rFonts w:ascii="Verdana" w:hAnsi="Verdana"/>
          <w:b/>
          <w:i/>
          <w:color w:val="000090"/>
          <w:sz w:val="20"/>
          <w:szCs w:val="20"/>
        </w:rPr>
      </w:pPr>
      <w:r w:rsidRPr="00612C3F">
        <w:rPr>
          <w:rFonts w:ascii="Verdana" w:hAnsi="Verdana"/>
          <w:b/>
          <w:i/>
          <w:color w:val="000090"/>
          <w:sz w:val="20"/>
          <w:szCs w:val="20"/>
        </w:rPr>
        <w:t>What issues are addressed by allowing high risk pools to remain open?</w:t>
      </w:r>
    </w:p>
    <w:p w14:paraId="3F230DB5" w14:textId="77777777" w:rsidR="00C653E2" w:rsidRDefault="00C653E2" w:rsidP="00C653E2">
      <w:pPr>
        <w:pStyle w:val="ListParagraph"/>
        <w:rPr>
          <w:rFonts w:ascii="Verdana" w:hAnsi="Verdana"/>
          <w:sz w:val="20"/>
          <w:szCs w:val="20"/>
        </w:rPr>
      </w:pPr>
    </w:p>
    <w:p w14:paraId="3ED1BC09" w14:textId="77777777" w:rsidR="007C7CA8" w:rsidRDefault="00C653E2" w:rsidP="00426CAA">
      <w:pPr>
        <w:pStyle w:val="ListParagraph"/>
        <w:rPr>
          <w:rFonts w:ascii="Verdana" w:hAnsi="Verdana"/>
          <w:sz w:val="20"/>
          <w:szCs w:val="20"/>
        </w:rPr>
      </w:pPr>
      <w:r>
        <w:rPr>
          <w:rFonts w:ascii="Verdana" w:hAnsi="Verdana"/>
          <w:sz w:val="20"/>
          <w:szCs w:val="20"/>
        </w:rPr>
        <w:t>Some states have expressed concern that transitioning all patients currently enrolled in PCIPs and state high risk pools immediately could overwhelm the insurance exchanges.</w:t>
      </w:r>
      <w:r w:rsidR="00806431">
        <w:rPr>
          <w:rStyle w:val="EndnoteReference"/>
          <w:rFonts w:ascii="Verdana" w:hAnsi="Verdana"/>
          <w:sz w:val="20"/>
          <w:szCs w:val="20"/>
        </w:rPr>
        <w:endnoteReference w:id="37"/>
      </w:r>
      <w:r>
        <w:rPr>
          <w:rFonts w:ascii="Verdana" w:hAnsi="Verdana"/>
          <w:sz w:val="20"/>
          <w:szCs w:val="20"/>
        </w:rPr>
        <w:t xml:space="preserve"> </w:t>
      </w:r>
      <w:r w:rsidR="00592750">
        <w:rPr>
          <w:rFonts w:ascii="Verdana" w:hAnsi="Verdana"/>
          <w:sz w:val="20"/>
          <w:szCs w:val="20"/>
        </w:rPr>
        <w:t xml:space="preserve">Because </w:t>
      </w:r>
      <w:r>
        <w:rPr>
          <w:rFonts w:ascii="Verdana" w:hAnsi="Verdana"/>
          <w:sz w:val="20"/>
          <w:szCs w:val="20"/>
        </w:rPr>
        <w:t>PCIP and high risk pool enrollees are more expensive than the average consumer</w:t>
      </w:r>
      <w:r w:rsidR="00592750">
        <w:rPr>
          <w:rFonts w:ascii="Verdana" w:hAnsi="Verdana"/>
          <w:sz w:val="20"/>
          <w:szCs w:val="20"/>
        </w:rPr>
        <w:t>, their entry into the market could force insurers to increase premiums across the board. By transitioning more slowly, the insurance exchange plans could have the chance to enroll more people without preexisting conditions, allowing any rate increases to be spread over more people, and occur more gradually. Alternatively, operating the state high risk pool as a reinsurance program could defray the cost of these patients. Additionally, the state high risk pool may be more affordable for people in certain age and income brackets, who might otherwise have difficulty affording health insurance.</w:t>
      </w:r>
      <w:r w:rsidR="00396339">
        <w:rPr>
          <w:rFonts w:ascii="Verdana" w:hAnsi="Verdana"/>
          <w:sz w:val="20"/>
          <w:szCs w:val="20"/>
        </w:rPr>
        <w:t xml:space="preserve"> Furthermore, the high risk pool could provide insurance access to those individuals who would otherwise fall into a coverage gap.</w:t>
      </w:r>
      <w:r w:rsidR="00592750">
        <w:rPr>
          <w:rFonts w:ascii="Verdana" w:hAnsi="Verdana"/>
          <w:sz w:val="20"/>
          <w:szCs w:val="20"/>
        </w:rPr>
        <w:t xml:space="preserve"> </w:t>
      </w:r>
    </w:p>
    <w:p w14:paraId="0F277299" w14:textId="77777777" w:rsidR="005A7E3E" w:rsidRPr="00D11AB0" w:rsidRDefault="005A7E3E" w:rsidP="00D11AB0">
      <w:pPr>
        <w:rPr>
          <w:rFonts w:ascii="Verdana" w:hAnsi="Verdana"/>
          <w:sz w:val="20"/>
          <w:szCs w:val="20"/>
        </w:rPr>
        <w:sectPr w:rsidR="005A7E3E" w:rsidRPr="00D11AB0" w:rsidSect="00426CAA">
          <w:endnotePr>
            <w:numFmt w:val="decimal"/>
          </w:endnotePr>
          <w:type w:val="continuous"/>
          <w:pgSz w:w="12240" w:h="15840" w:code="1"/>
          <w:pgMar w:top="720" w:right="720" w:bottom="360" w:left="720" w:header="720" w:footer="360" w:gutter="0"/>
          <w:cols w:num="2" w:space="360"/>
          <w:titlePg/>
          <w:docGrid w:linePitch="360"/>
        </w:sectPr>
      </w:pPr>
    </w:p>
    <w:p w14:paraId="77641C70" w14:textId="77777777" w:rsidR="004F40A6" w:rsidRDefault="00F65BD9">
      <w:pPr>
        <w:rPr>
          <w:rFonts w:ascii="Verdana" w:hAnsi="Verdana"/>
          <w:b/>
          <w:color w:val="000090"/>
          <w:sz w:val="20"/>
          <w:szCs w:val="20"/>
        </w:rPr>
      </w:pPr>
      <w:r>
        <w:rPr>
          <w:rFonts w:ascii="Verdana" w:hAnsi="Verdana"/>
          <w:b/>
          <w:color w:val="000090"/>
          <w:sz w:val="20"/>
          <w:szCs w:val="20"/>
        </w:rPr>
        <w:lastRenderedPageBreak/>
        <w:t>Table 1: Comparison of Preexisting Condition Administration and ADAP Cooperation Between States</w:t>
      </w:r>
    </w:p>
    <w:p w14:paraId="56A3F21E" w14:textId="77777777" w:rsidR="001A6BDF" w:rsidRDefault="001A6BDF">
      <w:pPr>
        <w:rPr>
          <w:rFonts w:ascii="Verdana" w:hAnsi="Verdana"/>
          <w:b/>
          <w:color w:val="000090"/>
          <w:sz w:val="20"/>
          <w:szCs w:val="20"/>
        </w:rPr>
      </w:pPr>
    </w:p>
    <w:p w14:paraId="6A8C456F" w14:textId="77777777" w:rsidR="00806431" w:rsidRDefault="00806431" w:rsidP="00EE4997">
      <w:pPr>
        <w:rPr>
          <w:rFonts w:ascii="Calibri" w:eastAsia="Times New Roman" w:hAnsi="Calibri" w:cs="Times New Roman"/>
          <w:color w:val="000000"/>
          <w:sz w:val="20"/>
          <w:szCs w:val="20"/>
        </w:rPr>
        <w:sectPr w:rsidR="00806431" w:rsidSect="002E6E2A">
          <w:endnotePr>
            <w:numFmt w:val="decimal"/>
          </w:endnotePr>
          <w:pgSz w:w="15840" w:h="12240" w:orient="landscape"/>
          <w:pgMar w:top="720" w:right="720" w:bottom="720" w:left="360" w:header="720" w:footer="360" w:gutter="0"/>
          <w:cols w:space="720"/>
          <w:titlePg/>
          <w:docGrid w:linePitch="360"/>
        </w:sectPr>
      </w:pPr>
    </w:p>
    <w:tbl>
      <w:tblPr>
        <w:tblW w:w="14500" w:type="dxa"/>
        <w:tblInd w:w="-110" w:type="dxa"/>
        <w:tblLook w:val="04A0" w:firstRow="1" w:lastRow="0" w:firstColumn="1" w:lastColumn="0" w:noHBand="0" w:noVBand="1"/>
      </w:tblPr>
      <w:tblGrid>
        <w:gridCol w:w="1420"/>
        <w:gridCol w:w="2760"/>
        <w:gridCol w:w="2860"/>
        <w:gridCol w:w="1560"/>
        <w:gridCol w:w="1890"/>
        <w:gridCol w:w="1630"/>
        <w:gridCol w:w="2380"/>
      </w:tblGrid>
      <w:tr w:rsidR="00EE4997" w:rsidRPr="00EE4997" w14:paraId="4C558602" w14:textId="77777777" w:rsidTr="00F1057E">
        <w:trPr>
          <w:trHeight w:val="315"/>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225099A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lastRenderedPageBreak/>
              <w:t>States</w:t>
            </w:r>
          </w:p>
        </w:tc>
        <w:tc>
          <w:tcPr>
            <w:tcW w:w="2760" w:type="dxa"/>
            <w:tcBorders>
              <w:top w:val="single" w:sz="8" w:space="0" w:color="auto"/>
              <w:left w:val="nil"/>
              <w:bottom w:val="single" w:sz="8" w:space="0" w:color="auto"/>
              <w:right w:val="nil"/>
            </w:tcBorders>
            <w:shd w:val="clear" w:color="auto" w:fill="auto"/>
            <w:noWrap/>
            <w:vAlign w:val="bottom"/>
            <w:hideMark/>
          </w:tcPr>
          <w:p w14:paraId="09246056" w14:textId="77777777" w:rsidR="00EE4997" w:rsidRPr="00D11AB0" w:rsidRDefault="00EE4997" w:rsidP="00EE4997">
            <w:pPr>
              <w:rPr>
                <w:rFonts w:ascii="Calibri" w:eastAsia="Times New Roman" w:hAnsi="Calibri" w:cs="Times New Roman"/>
                <w:color w:val="000000"/>
                <w:sz w:val="20"/>
                <w:szCs w:val="20"/>
                <w:u w:val="double"/>
              </w:rPr>
            </w:pPr>
            <w:r w:rsidRPr="00EE4997">
              <w:rPr>
                <w:rFonts w:ascii="Calibri" w:eastAsia="Times New Roman" w:hAnsi="Calibri" w:cs="Times New Roman"/>
                <w:color w:val="000000"/>
                <w:sz w:val="20"/>
                <w:szCs w:val="20"/>
              </w:rPr>
              <w:t>State-run High Risk Pool and ADAP</w:t>
            </w:r>
            <w:r w:rsidR="00F65BD9">
              <w:rPr>
                <w:rFonts w:ascii="Calibri" w:eastAsia="Times New Roman" w:hAnsi="Calibri" w:cs="Times New Roman"/>
                <w:color w:val="000000"/>
                <w:sz w:val="20"/>
                <w:szCs w:val="20"/>
              </w:rPr>
              <w:t xml:space="preserve"> Cooperation</w:t>
            </w:r>
            <w:r w:rsidR="00806431">
              <w:rPr>
                <w:rStyle w:val="EndnoteReference"/>
                <w:rFonts w:ascii="Calibri" w:eastAsia="Times New Roman" w:hAnsi="Calibri" w:cs="Times New Roman"/>
                <w:color w:val="000000"/>
                <w:sz w:val="20"/>
                <w:szCs w:val="20"/>
              </w:rPr>
              <w:endnoteReference w:id="38"/>
            </w:r>
          </w:p>
        </w:tc>
        <w:tc>
          <w:tcPr>
            <w:tcW w:w="2860" w:type="dxa"/>
            <w:tcBorders>
              <w:top w:val="single" w:sz="8" w:space="0" w:color="auto"/>
              <w:left w:val="nil"/>
              <w:bottom w:val="single" w:sz="8" w:space="0" w:color="auto"/>
              <w:right w:val="nil"/>
            </w:tcBorders>
            <w:shd w:val="clear" w:color="auto" w:fill="auto"/>
            <w:noWrap/>
            <w:vAlign w:val="bottom"/>
            <w:hideMark/>
          </w:tcPr>
          <w:p w14:paraId="5390789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High Risk Pool Post-2014</w:t>
            </w:r>
            <w:r w:rsidR="00806431">
              <w:rPr>
                <w:rStyle w:val="EndnoteReference"/>
                <w:rFonts w:ascii="Calibri" w:eastAsia="Times New Roman" w:hAnsi="Calibri" w:cs="Times New Roman"/>
                <w:color w:val="000000"/>
                <w:sz w:val="20"/>
                <w:szCs w:val="20"/>
              </w:rPr>
              <w:endnoteReference w:id="39"/>
            </w:r>
            <w:r w:rsidRPr="00EE4997">
              <w:rPr>
                <w:rFonts w:ascii="Calibri" w:eastAsia="Times New Roman" w:hAnsi="Calibri" w:cs="Times New Roman"/>
                <w:color w:val="000000"/>
                <w:sz w:val="20"/>
                <w:szCs w:val="20"/>
              </w:rPr>
              <w:t xml:space="preserve">  </w:t>
            </w:r>
          </w:p>
        </w:tc>
        <w:tc>
          <w:tcPr>
            <w:tcW w:w="1560" w:type="dxa"/>
            <w:tcBorders>
              <w:top w:val="single" w:sz="8" w:space="0" w:color="auto"/>
              <w:left w:val="nil"/>
              <w:bottom w:val="single" w:sz="8" w:space="0" w:color="auto"/>
              <w:right w:val="nil"/>
            </w:tcBorders>
            <w:shd w:val="clear" w:color="auto" w:fill="auto"/>
            <w:noWrap/>
            <w:vAlign w:val="bottom"/>
            <w:hideMark/>
          </w:tcPr>
          <w:p w14:paraId="686F1F4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PCIP Administration</w:t>
            </w:r>
            <w:r w:rsidR="00806431">
              <w:rPr>
                <w:rStyle w:val="EndnoteReference"/>
                <w:rFonts w:ascii="Calibri" w:eastAsia="Times New Roman" w:hAnsi="Calibri" w:cs="Times New Roman"/>
                <w:color w:val="000000"/>
                <w:sz w:val="20"/>
                <w:szCs w:val="20"/>
              </w:rPr>
              <w:endnoteReference w:id="40"/>
            </w:r>
          </w:p>
        </w:tc>
        <w:tc>
          <w:tcPr>
            <w:tcW w:w="1890" w:type="dxa"/>
            <w:tcBorders>
              <w:top w:val="single" w:sz="8" w:space="0" w:color="auto"/>
              <w:left w:val="nil"/>
              <w:bottom w:val="single" w:sz="8" w:space="0" w:color="auto"/>
              <w:right w:val="nil"/>
            </w:tcBorders>
            <w:shd w:val="clear" w:color="auto" w:fill="auto"/>
            <w:noWrap/>
            <w:vAlign w:val="bottom"/>
            <w:hideMark/>
          </w:tcPr>
          <w:p w14:paraId="0A0FF29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PCIP and ADAP</w:t>
            </w:r>
            <w:r w:rsidR="00F65BD9">
              <w:rPr>
                <w:rFonts w:ascii="Calibri" w:eastAsia="Times New Roman" w:hAnsi="Calibri" w:cs="Times New Roman"/>
                <w:color w:val="000000"/>
                <w:sz w:val="20"/>
                <w:szCs w:val="20"/>
              </w:rPr>
              <w:t xml:space="preserve"> Cooperation</w:t>
            </w:r>
            <w:r w:rsidR="00806431">
              <w:rPr>
                <w:rStyle w:val="EndnoteReference"/>
                <w:rFonts w:ascii="Calibri" w:eastAsia="Times New Roman" w:hAnsi="Calibri" w:cs="Times New Roman"/>
                <w:color w:val="000000"/>
                <w:sz w:val="20"/>
                <w:szCs w:val="20"/>
              </w:rPr>
              <w:endnoteReference w:id="41"/>
            </w:r>
          </w:p>
        </w:tc>
        <w:tc>
          <w:tcPr>
            <w:tcW w:w="1630" w:type="dxa"/>
            <w:tcBorders>
              <w:top w:val="single" w:sz="8" w:space="0" w:color="auto"/>
              <w:left w:val="nil"/>
              <w:bottom w:val="single" w:sz="8" w:space="0" w:color="auto"/>
              <w:right w:val="nil"/>
            </w:tcBorders>
            <w:shd w:val="clear" w:color="auto" w:fill="auto"/>
            <w:noWrap/>
            <w:vAlign w:val="bottom"/>
            <w:hideMark/>
          </w:tcPr>
          <w:p w14:paraId="20DB224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Medicaid Expansion</w:t>
            </w:r>
            <w:r w:rsidR="00806431">
              <w:rPr>
                <w:rStyle w:val="EndnoteReference"/>
                <w:rFonts w:ascii="Calibri" w:eastAsia="Times New Roman" w:hAnsi="Calibri" w:cs="Times New Roman"/>
                <w:color w:val="000000"/>
                <w:sz w:val="20"/>
                <w:szCs w:val="20"/>
              </w:rPr>
              <w:endnoteReference w:id="42"/>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11BE4B2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 Exchange Administration</w:t>
            </w:r>
            <w:r w:rsidR="00806431">
              <w:rPr>
                <w:rStyle w:val="EndnoteReference"/>
                <w:rFonts w:ascii="Calibri" w:eastAsia="Times New Roman" w:hAnsi="Calibri" w:cs="Times New Roman"/>
                <w:color w:val="000000"/>
                <w:sz w:val="20"/>
                <w:szCs w:val="20"/>
              </w:rPr>
              <w:endnoteReference w:id="43"/>
            </w:r>
          </w:p>
        </w:tc>
      </w:tr>
      <w:tr w:rsidR="00EE4997" w:rsidRPr="00EE4997" w14:paraId="14F12F63"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802E41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Alabama</w:t>
            </w:r>
          </w:p>
        </w:tc>
        <w:tc>
          <w:tcPr>
            <w:tcW w:w="2760" w:type="dxa"/>
            <w:tcBorders>
              <w:top w:val="nil"/>
              <w:left w:val="nil"/>
              <w:bottom w:val="nil"/>
              <w:right w:val="nil"/>
            </w:tcBorders>
            <w:shd w:val="clear" w:color="auto" w:fill="auto"/>
            <w:noWrap/>
            <w:vAlign w:val="bottom"/>
            <w:hideMark/>
          </w:tcPr>
          <w:p w14:paraId="71F4959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4F1B1F1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Considering as reinsurance plan</w:t>
            </w:r>
          </w:p>
        </w:tc>
        <w:tc>
          <w:tcPr>
            <w:tcW w:w="1560" w:type="dxa"/>
            <w:tcBorders>
              <w:top w:val="nil"/>
              <w:left w:val="nil"/>
              <w:bottom w:val="nil"/>
              <w:right w:val="nil"/>
            </w:tcBorders>
            <w:shd w:val="clear" w:color="auto" w:fill="auto"/>
            <w:noWrap/>
            <w:vAlign w:val="bottom"/>
            <w:hideMark/>
          </w:tcPr>
          <w:p w14:paraId="5E84846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1CD8557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325354E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41EBFA6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42E5CD5E"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3B39BC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Alaska</w:t>
            </w:r>
          </w:p>
        </w:tc>
        <w:tc>
          <w:tcPr>
            <w:tcW w:w="2760" w:type="dxa"/>
            <w:tcBorders>
              <w:top w:val="nil"/>
              <w:left w:val="nil"/>
              <w:bottom w:val="nil"/>
              <w:right w:val="nil"/>
            </w:tcBorders>
            <w:shd w:val="clear" w:color="auto" w:fill="auto"/>
            <w:noWrap/>
            <w:vAlign w:val="bottom"/>
            <w:hideMark/>
          </w:tcPr>
          <w:p w14:paraId="1C6B8DE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652F159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1</w:t>
            </w:r>
          </w:p>
        </w:tc>
        <w:tc>
          <w:tcPr>
            <w:tcW w:w="1560" w:type="dxa"/>
            <w:tcBorders>
              <w:top w:val="nil"/>
              <w:left w:val="nil"/>
              <w:bottom w:val="nil"/>
              <w:right w:val="nil"/>
            </w:tcBorders>
            <w:shd w:val="clear" w:color="auto" w:fill="auto"/>
            <w:noWrap/>
            <w:vAlign w:val="bottom"/>
            <w:hideMark/>
          </w:tcPr>
          <w:p w14:paraId="5A5BBFF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0CE0EBA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2BBC6B7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76735DE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05287AB4"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5046B6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Arizona</w:t>
            </w:r>
          </w:p>
        </w:tc>
        <w:tc>
          <w:tcPr>
            <w:tcW w:w="2760" w:type="dxa"/>
            <w:tcBorders>
              <w:top w:val="nil"/>
              <w:left w:val="nil"/>
              <w:bottom w:val="nil"/>
              <w:right w:val="nil"/>
            </w:tcBorders>
            <w:shd w:val="clear" w:color="auto" w:fill="auto"/>
            <w:noWrap/>
            <w:vAlign w:val="bottom"/>
            <w:hideMark/>
          </w:tcPr>
          <w:p w14:paraId="15987F7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165E010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2F59F70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2966BC0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6549503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4897DDE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2642E747"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CF7FD1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Arkansas</w:t>
            </w:r>
          </w:p>
        </w:tc>
        <w:tc>
          <w:tcPr>
            <w:tcW w:w="2760" w:type="dxa"/>
            <w:tcBorders>
              <w:top w:val="nil"/>
              <w:left w:val="nil"/>
              <w:bottom w:val="nil"/>
              <w:right w:val="nil"/>
            </w:tcBorders>
            <w:shd w:val="clear" w:color="auto" w:fill="auto"/>
            <w:noWrap/>
            <w:vAlign w:val="bottom"/>
            <w:hideMark/>
          </w:tcPr>
          <w:p w14:paraId="50B45F6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32BDA1F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2FFAE0D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68F56D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04044B2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33C4F6F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0C1A90C4"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6FAF533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California</w:t>
            </w:r>
          </w:p>
        </w:tc>
        <w:tc>
          <w:tcPr>
            <w:tcW w:w="2760" w:type="dxa"/>
            <w:tcBorders>
              <w:top w:val="nil"/>
              <w:left w:val="nil"/>
              <w:bottom w:val="nil"/>
              <w:right w:val="nil"/>
            </w:tcBorders>
            <w:shd w:val="clear" w:color="auto" w:fill="auto"/>
            <w:noWrap/>
            <w:vAlign w:val="bottom"/>
            <w:hideMark/>
          </w:tcPr>
          <w:p w14:paraId="3417C58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0F01015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349D3CC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0F314D6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71740BB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0BF333E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751B3033"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23067F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Colorado</w:t>
            </w:r>
          </w:p>
        </w:tc>
        <w:tc>
          <w:tcPr>
            <w:tcW w:w="2760" w:type="dxa"/>
            <w:tcBorders>
              <w:top w:val="nil"/>
              <w:left w:val="nil"/>
              <w:bottom w:val="nil"/>
              <w:right w:val="nil"/>
            </w:tcBorders>
            <w:shd w:val="clear" w:color="auto" w:fill="auto"/>
            <w:noWrap/>
            <w:vAlign w:val="bottom"/>
            <w:hideMark/>
          </w:tcPr>
          <w:p w14:paraId="461295B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5205DBC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Cease enrollment January 2014</w:t>
            </w:r>
          </w:p>
        </w:tc>
        <w:tc>
          <w:tcPr>
            <w:tcW w:w="1560" w:type="dxa"/>
            <w:tcBorders>
              <w:top w:val="nil"/>
              <w:left w:val="nil"/>
              <w:bottom w:val="nil"/>
              <w:right w:val="nil"/>
            </w:tcBorders>
            <w:shd w:val="clear" w:color="auto" w:fill="auto"/>
            <w:noWrap/>
            <w:vAlign w:val="bottom"/>
            <w:hideMark/>
          </w:tcPr>
          <w:p w14:paraId="45CE374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132B05D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748BF6A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38822D9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0E3C6CA9"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2F14FF87" w14:textId="77777777" w:rsidR="00EE4997" w:rsidRPr="00EE4997" w:rsidRDefault="006D4061"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Connecticut</w:t>
            </w:r>
          </w:p>
        </w:tc>
        <w:tc>
          <w:tcPr>
            <w:tcW w:w="2760" w:type="dxa"/>
            <w:tcBorders>
              <w:top w:val="nil"/>
              <w:left w:val="nil"/>
              <w:bottom w:val="nil"/>
              <w:right w:val="nil"/>
            </w:tcBorders>
            <w:shd w:val="clear" w:color="auto" w:fill="auto"/>
            <w:noWrap/>
            <w:vAlign w:val="bottom"/>
            <w:hideMark/>
          </w:tcPr>
          <w:p w14:paraId="539BA03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145DD3A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Continue operating post-2014</w:t>
            </w:r>
          </w:p>
        </w:tc>
        <w:tc>
          <w:tcPr>
            <w:tcW w:w="1560" w:type="dxa"/>
            <w:tcBorders>
              <w:top w:val="nil"/>
              <w:left w:val="nil"/>
              <w:bottom w:val="nil"/>
              <w:right w:val="nil"/>
            </w:tcBorders>
            <w:shd w:val="clear" w:color="auto" w:fill="auto"/>
            <w:noWrap/>
            <w:vAlign w:val="bottom"/>
            <w:hideMark/>
          </w:tcPr>
          <w:p w14:paraId="6E8D11D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34F362F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7827839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1EF092C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0711AB52"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3F214CF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Delaware</w:t>
            </w:r>
          </w:p>
        </w:tc>
        <w:tc>
          <w:tcPr>
            <w:tcW w:w="2760" w:type="dxa"/>
            <w:tcBorders>
              <w:top w:val="nil"/>
              <w:left w:val="nil"/>
              <w:bottom w:val="nil"/>
              <w:right w:val="nil"/>
            </w:tcBorders>
            <w:shd w:val="clear" w:color="auto" w:fill="auto"/>
            <w:noWrap/>
            <w:vAlign w:val="bottom"/>
            <w:hideMark/>
          </w:tcPr>
          <w:p w14:paraId="7B93453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5BD3883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5D1D0D5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3E95329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data reported</w:t>
            </w:r>
          </w:p>
        </w:tc>
        <w:tc>
          <w:tcPr>
            <w:tcW w:w="1630" w:type="dxa"/>
            <w:tcBorders>
              <w:top w:val="nil"/>
              <w:left w:val="nil"/>
              <w:bottom w:val="nil"/>
              <w:right w:val="nil"/>
            </w:tcBorders>
            <w:shd w:val="clear" w:color="auto" w:fill="auto"/>
            <w:noWrap/>
            <w:vAlign w:val="bottom"/>
            <w:hideMark/>
          </w:tcPr>
          <w:p w14:paraId="7CC1E9D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363414E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6C40B086"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4BE6296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DC</w:t>
            </w:r>
          </w:p>
        </w:tc>
        <w:tc>
          <w:tcPr>
            <w:tcW w:w="2760" w:type="dxa"/>
            <w:tcBorders>
              <w:top w:val="nil"/>
              <w:left w:val="nil"/>
              <w:bottom w:val="nil"/>
              <w:right w:val="nil"/>
            </w:tcBorders>
            <w:shd w:val="clear" w:color="auto" w:fill="auto"/>
            <w:noWrap/>
            <w:vAlign w:val="bottom"/>
            <w:hideMark/>
          </w:tcPr>
          <w:p w14:paraId="57CE37B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1D3D552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54F7BC6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3F03F7C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data reported</w:t>
            </w:r>
          </w:p>
        </w:tc>
        <w:tc>
          <w:tcPr>
            <w:tcW w:w="1630" w:type="dxa"/>
            <w:tcBorders>
              <w:top w:val="nil"/>
              <w:left w:val="nil"/>
              <w:bottom w:val="nil"/>
              <w:right w:val="nil"/>
            </w:tcBorders>
            <w:shd w:val="clear" w:color="auto" w:fill="auto"/>
            <w:noWrap/>
            <w:vAlign w:val="bottom"/>
            <w:hideMark/>
          </w:tcPr>
          <w:p w14:paraId="1645CC9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0EC665E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432FCF25"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8C101D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Florida</w:t>
            </w:r>
          </w:p>
        </w:tc>
        <w:tc>
          <w:tcPr>
            <w:tcW w:w="2760" w:type="dxa"/>
            <w:tcBorders>
              <w:top w:val="nil"/>
              <w:left w:val="nil"/>
              <w:bottom w:val="nil"/>
              <w:right w:val="nil"/>
            </w:tcBorders>
            <w:shd w:val="clear" w:color="auto" w:fill="auto"/>
            <w:noWrap/>
            <w:vAlign w:val="bottom"/>
            <w:hideMark/>
          </w:tcPr>
          <w:p w14:paraId="6F6F493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1B59068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415CDFA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22FC1B3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3CAD3D9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5D20823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5B9BEA14"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C2A988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Georgia</w:t>
            </w:r>
          </w:p>
        </w:tc>
        <w:tc>
          <w:tcPr>
            <w:tcW w:w="2760" w:type="dxa"/>
            <w:tcBorders>
              <w:top w:val="nil"/>
              <w:left w:val="nil"/>
              <w:bottom w:val="nil"/>
              <w:right w:val="nil"/>
            </w:tcBorders>
            <w:shd w:val="clear" w:color="auto" w:fill="auto"/>
            <w:noWrap/>
            <w:vAlign w:val="bottom"/>
            <w:hideMark/>
          </w:tcPr>
          <w:p w14:paraId="2929737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363E831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1737659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43421F9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5AC2986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765CA7B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60106E14"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76FFB2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Hawaii</w:t>
            </w:r>
          </w:p>
        </w:tc>
        <w:tc>
          <w:tcPr>
            <w:tcW w:w="2760" w:type="dxa"/>
            <w:tcBorders>
              <w:top w:val="nil"/>
              <w:left w:val="nil"/>
              <w:bottom w:val="nil"/>
              <w:right w:val="nil"/>
            </w:tcBorders>
            <w:shd w:val="clear" w:color="auto" w:fill="auto"/>
            <w:noWrap/>
            <w:vAlign w:val="bottom"/>
            <w:hideMark/>
          </w:tcPr>
          <w:p w14:paraId="6E03B52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1F488D4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3D60B1F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4198FE8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2569E6D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6AC9F03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100B3BEE"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15BCCD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Idaho</w:t>
            </w:r>
          </w:p>
        </w:tc>
        <w:tc>
          <w:tcPr>
            <w:tcW w:w="2760" w:type="dxa"/>
            <w:tcBorders>
              <w:top w:val="nil"/>
              <w:left w:val="nil"/>
              <w:bottom w:val="nil"/>
              <w:right w:val="nil"/>
            </w:tcBorders>
            <w:shd w:val="clear" w:color="auto" w:fill="auto"/>
            <w:noWrap/>
            <w:vAlign w:val="bottom"/>
            <w:hideMark/>
          </w:tcPr>
          <w:p w14:paraId="69CED45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3EB5AF5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5B14F90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4EA303A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5ED0ADC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06A8AD4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1A111D1A"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A06DE7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Illinois</w:t>
            </w:r>
          </w:p>
        </w:tc>
        <w:tc>
          <w:tcPr>
            <w:tcW w:w="2760" w:type="dxa"/>
            <w:tcBorders>
              <w:top w:val="nil"/>
              <w:left w:val="nil"/>
              <w:bottom w:val="nil"/>
              <w:right w:val="nil"/>
            </w:tcBorders>
            <w:shd w:val="clear" w:color="auto" w:fill="auto"/>
            <w:noWrap/>
            <w:vAlign w:val="bottom"/>
            <w:hideMark/>
          </w:tcPr>
          <w:p w14:paraId="1491869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2DE56FB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55FC0BB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15B0AF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5CC1174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76A7AFD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68A99B13"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D96343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Indiana</w:t>
            </w:r>
          </w:p>
        </w:tc>
        <w:tc>
          <w:tcPr>
            <w:tcW w:w="2760" w:type="dxa"/>
            <w:tcBorders>
              <w:top w:val="nil"/>
              <w:left w:val="nil"/>
              <w:bottom w:val="nil"/>
              <w:right w:val="nil"/>
            </w:tcBorders>
            <w:shd w:val="clear" w:color="auto" w:fill="auto"/>
            <w:noWrap/>
            <w:vAlign w:val="bottom"/>
            <w:hideMark/>
          </w:tcPr>
          <w:p w14:paraId="265D8CD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6DF1587D" w14:textId="2D896025" w:rsidR="00EE4997" w:rsidRPr="00EE4997" w:rsidRDefault="005014C3"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5EDCB6A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54593A6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7E2271A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0A6F3DF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73E31969"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4DAF206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Iowa</w:t>
            </w:r>
          </w:p>
        </w:tc>
        <w:tc>
          <w:tcPr>
            <w:tcW w:w="2760" w:type="dxa"/>
            <w:tcBorders>
              <w:top w:val="nil"/>
              <w:left w:val="nil"/>
              <w:bottom w:val="nil"/>
              <w:right w:val="nil"/>
            </w:tcBorders>
            <w:shd w:val="clear" w:color="auto" w:fill="auto"/>
            <w:noWrap/>
            <w:vAlign w:val="bottom"/>
            <w:hideMark/>
          </w:tcPr>
          <w:p w14:paraId="527A52C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39C75E5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307AD73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73A042B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662CFEA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6731930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197358F3"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6A52BA1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Kansas</w:t>
            </w:r>
          </w:p>
        </w:tc>
        <w:tc>
          <w:tcPr>
            <w:tcW w:w="2760" w:type="dxa"/>
            <w:tcBorders>
              <w:top w:val="nil"/>
              <w:left w:val="nil"/>
              <w:bottom w:val="nil"/>
              <w:right w:val="nil"/>
            </w:tcBorders>
            <w:shd w:val="clear" w:color="auto" w:fill="auto"/>
            <w:noWrap/>
            <w:vAlign w:val="bottom"/>
            <w:hideMark/>
          </w:tcPr>
          <w:p w14:paraId="02BAFD2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5A8F468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4591256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6C53A22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5F816B1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02F5596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5AD95B44"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928334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Kentucky</w:t>
            </w:r>
          </w:p>
        </w:tc>
        <w:tc>
          <w:tcPr>
            <w:tcW w:w="2760" w:type="dxa"/>
            <w:tcBorders>
              <w:top w:val="nil"/>
              <w:left w:val="nil"/>
              <w:bottom w:val="nil"/>
              <w:right w:val="nil"/>
            </w:tcBorders>
            <w:shd w:val="clear" w:color="auto" w:fill="auto"/>
            <w:noWrap/>
            <w:vAlign w:val="bottom"/>
            <w:hideMark/>
          </w:tcPr>
          <w:p w14:paraId="164402D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4A2D8FB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Cease enrollment January 2014</w:t>
            </w:r>
          </w:p>
        </w:tc>
        <w:tc>
          <w:tcPr>
            <w:tcW w:w="1560" w:type="dxa"/>
            <w:tcBorders>
              <w:top w:val="nil"/>
              <w:left w:val="nil"/>
              <w:bottom w:val="nil"/>
              <w:right w:val="nil"/>
            </w:tcBorders>
            <w:shd w:val="clear" w:color="auto" w:fill="auto"/>
            <w:noWrap/>
            <w:vAlign w:val="bottom"/>
            <w:hideMark/>
          </w:tcPr>
          <w:p w14:paraId="50EEBC9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71C4C7C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2531644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72E1C89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53DAD993"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5F8F16D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Louisiana</w:t>
            </w:r>
          </w:p>
        </w:tc>
        <w:tc>
          <w:tcPr>
            <w:tcW w:w="2760" w:type="dxa"/>
            <w:tcBorders>
              <w:top w:val="nil"/>
              <w:left w:val="nil"/>
              <w:bottom w:val="nil"/>
              <w:right w:val="nil"/>
            </w:tcBorders>
            <w:shd w:val="clear" w:color="auto" w:fill="auto"/>
            <w:noWrap/>
            <w:vAlign w:val="bottom"/>
            <w:hideMark/>
          </w:tcPr>
          <w:p w14:paraId="0F6C3FD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46D955F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1AC30C0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47B0CCE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64B1460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7FD9714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5D8B5768"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DD9CC2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Maine</w:t>
            </w:r>
          </w:p>
        </w:tc>
        <w:tc>
          <w:tcPr>
            <w:tcW w:w="2760" w:type="dxa"/>
            <w:tcBorders>
              <w:top w:val="nil"/>
              <w:left w:val="nil"/>
              <w:bottom w:val="nil"/>
              <w:right w:val="nil"/>
            </w:tcBorders>
            <w:shd w:val="clear" w:color="auto" w:fill="auto"/>
            <w:noWrap/>
            <w:vAlign w:val="bottom"/>
            <w:hideMark/>
          </w:tcPr>
          <w:p w14:paraId="7778946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67E331A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11F3B61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D9D90E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30CDEEF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6755B19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5DB43B9A"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45A5114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Maryland</w:t>
            </w:r>
          </w:p>
        </w:tc>
        <w:tc>
          <w:tcPr>
            <w:tcW w:w="2760" w:type="dxa"/>
            <w:tcBorders>
              <w:top w:val="nil"/>
              <w:left w:val="nil"/>
              <w:bottom w:val="nil"/>
              <w:right w:val="nil"/>
            </w:tcBorders>
            <w:shd w:val="clear" w:color="auto" w:fill="auto"/>
            <w:noWrap/>
            <w:vAlign w:val="bottom"/>
            <w:hideMark/>
          </w:tcPr>
          <w:p w14:paraId="68951BE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3B5D16F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Considering as reinsurance plan</w:t>
            </w:r>
          </w:p>
        </w:tc>
        <w:tc>
          <w:tcPr>
            <w:tcW w:w="1560" w:type="dxa"/>
            <w:tcBorders>
              <w:top w:val="nil"/>
              <w:left w:val="nil"/>
              <w:bottom w:val="nil"/>
              <w:right w:val="nil"/>
            </w:tcBorders>
            <w:shd w:val="clear" w:color="auto" w:fill="auto"/>
            <w:noWrap/>
            <w:vAlign w:val="bottom"/>
            <w:hideMark/>
          </w:tcPr>
          <w:p w14:paraId="7D478AC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3CA2D35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4D92D0E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14640F8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76A4CA1A"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665F7E6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Massachusetts</w:t>
            </w:r>
          </w:p>
        </w:tc>
        <w:tc>
          <w:tcPr>
            <w:tcW w:w="2760" w:type="dxa"/>
            <w:tcBorders>
              <w:top w:val="nil"/>
              <w:left w:val="nil"/>
              <w:bottom w:val="nil"/>
              <w:right w:val="nil"/>
            </w:tcBorders>
            <w:shd w:val="clear" w:color="auto" w:fill="auto"/>
            <w:noWrap/>
            <w:vAlign w:val="bottom"/>
            <w:hideMark/>
          </w:tcPr>
          <w:p w14:paraId="7882029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2EAB849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050ABEB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08436A3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1D4EA3D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6CF10DA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48D96A9C"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2AEA47F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Michigan</w:t>
            </w:r>
          </w:p>
        </w:tc>
        <w:tc>
          <w:tcPr>
            <w:tcW w:w="2760" w:type="dxa"/>
            <w:tcBorders>
              <w:top w:val="nil"/>
              <w:left w:val="nil"/>
              <w:bottom w:val="nil"/>
              <w:right w:val="nil"/>
            </w:tcBorders>
            <w:shd w:val="clear" w:color="auto" w:fill="auto"/>
            <w:noWrap/>
            <w:vAlign w:val="bottom"/>
            <w:hideMark/>
          </w:tcPr>
          <w:p w14:paraId="78D6FC8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6AA2E3A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0603FCB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620204A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0278E87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737ACB6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5B5F5EB1"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57DBC4C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Minnesota</w:t>
            </w:r>
          </w:p>
        </w:tc>
        <w:tc>
          <w:tcPr>
            <w:tcW w:w="2760" w:type="dxa"/>
            <w:tcBorders>
              <w:top w:val="nil"/>
              <w:left w:val="nil"/>
              <w:bottom w:val="nil"/>
              <w:right w:val="nil"/>
            </w:tcBorders>
            <w:shd w:val="clear" w:color="auto" w:fill="auto"/>
            <w:noWrap/>
            <w:vAlign w:val="bottom"/>
            <w:hideMark/>
          </w:tcPr>
          <w:p w14:paraId="2517F10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2286C6B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Continue operating post-2014</w:t>
            </w:r>
          </w:p>
        </w:tc>
        <w:tc>
          <w:tcPr>
            <w:tcW w:w="1560" w:type="dxa"/>
            <w:tcBorders>
              <w:top w:val="nil"/>
              <w:left w:val="nil"/>
              <w:bottom w:val="nil"/>
              <w:right w:val="nil"/>
            </w:tcBorders>
            <w:shd w:val="clear" w:color="auto" w:fill="auto"/>
            <w:noWrap/>
            <w:vAlign w:val="bottom"/>
            <w:hideMark/>
          </w:tcPr>
          <w:p w14:paraId="2781B87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368E753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12346DF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006C720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25FD8FFC"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4C0989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Mississippi</w:t>
            </w:r>
          </w:p>
        </w:tc>
        <w:tc>
          <w:tcPr>
            <w:tcW w:w="2760" w:type="dxa"/>
            <w:tcBorders>
              <w:top w:val="nil"/>
              <w:left w:val="nil"/>
              <w:bottom w:val="nil"/>
              <w:right w:val="nil"/>
            </w:tcBorders>
            <w:shd w:val="clear" w:color="auto" w:fill="auto"/>
            <w:noWrap/>
            <w:vAlign w:val="bottom"/>
            <w:hideMark/>
          </w:tcPr>
          <w:p w14:paraId="1BAA106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66440087" w14:textId="0A3A32A0" w:rsidR="00EE4997" w:rsidRPr="00EE4997" w:rsidRDefault="005014C3" w:rsidP="00EE499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1560" w:type="dxa"/>
            <w:tcBorders>
              <w:top w:val="nil"/>
              <w:left w:val="nil"/>
              <w:bottom w:val="nil"/>
              <w:right w:val="nil"/>
            </w:tcBorders>
            <w:shd w:val="clear" w:color="auto" w:fill="auto"/>
            <w:noWrap/>
            <w:vAlign w:val="bottom"/>
            <w:hideMark/>
          </w:tcPr>
          <w:p w14:paraId="59D5355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636B9BC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3243E6F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7200DBC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3B220B21"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B896CB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Missouri</w:t>
            </w:r>
          </w:p>
        </w:tc>
        <w:tc>
          <w:tcPr>
            <w:tcW w:w="2760" w:type="dxa"/>
            <w:tcBorders>
              <w:top w:val="nil"/>
              <w:left w:val="nil"/>
              <w:bottom w:val="nil"/>
              <w:right w:val="nil"/>
            </w:tcBorders>
            <w:shd w:val="clear" w:color="auto" w:fill="auto"/>
            <w:noWrap/>
            <w:vAlign w:val="bottom"/>
            <w:hideMark/>
          </w:tcPr>
          <w:p w14:paraId="321CB53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12601DA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0C5E450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178A90E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data reported</w:t>
            </w:r>
          </w:p>
        </w:tc>
        <w:tc>
          <w:tcPr>
            <w:tcW w:w="1630" w:type="dxa"/>
            <w:tcBorders>
              <w:top w:val="nil"/>
              <w:left w:val="nil"/>
              <w:bottom w:val="nil"/>
              <w:right w:val="nil"/>
            </w:tcBorders>
            <w:shd w:val="clear" w:color="auto" w:fill="auto"/>
            <w:noWrap/>
            <w:vAlign w:val="bottom"/>
            <w:hideMark/>
          </w:tcPr>
          <w:p w14:paraId="39E4ED3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1E6C486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43E09A62"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2411D2E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Montana</w:t>
            </w:r>
          </w:p>
        </w:tc>
        <w:tc>
          <w:tcPr>
            <w:tcW w:w="2760" w:type="dxa"/>
            <w:tcBorders>
              <w:top w:val="nil"/>
              <w:left w:val="nil"/>
              <w:bottom w:val="nil"/>
              <w:right w:val="nil"/>
            </w:tcBorders>
            <w:shd w:val="clear" w:color="auto" w:fill="auto"/>
            <w:noWrap/>
            <w:vAlign w:val="bottom"/>
            <w:hideMark/>
          </w:tcPr>
          <w:p w14:paraId="5AD56AB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486BFD8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71E9A7A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2BD10DA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0E04A53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6344078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4EF71701"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A8F762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Nebraska</w:t>
            </w:r>
          </w:p>
        </w:tc>
        <w:tc>
          <w:tcPr>
            <w:tcW w:w="2760" w:type="dxa"/>
            <w:tcBorders>
              <w:top w:val="nil"/>
              <w:left w:val="nil"/>
              <w:bottom w:val="nil"/>
              <w:right w:val="nil"/>
            </w:tcBorders>
            <w:shd w:val="clear" w:color="auto" w:fill="auto"/>
            <w:noWrap/>
            <w:vAlign w:val="bottom"/>
            <w:hideMark/>
          </w:tcPr>
          <w:p w14:paraId="0CB358E9" w14:textId="77777777" w:rsidR="00EE4997" w:rsidRPr="005954C7" w:rsidRDefault="00EE4997" w:rsidP="0083699A">
            <w:pPr>
              <w:rPr>
                <w:rFonts w:ascii="Calibri" w:eastAsia="Times New Roman" w:hAnsi="Calibri" w:cs="Times New Roman"/>
                <w:color w:val="000000"/>
                <w:sz w:val="20"/>
                <w:szCs w:val="20"/>
              </w:rPr>
            </w:pPr>
            <w:r w:rsidRPr="005954C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5766875C" w14:textId="75B4ED07" w:rsidR="00EE4997" w:rsidRPr="00EE4997" w:rsidRDefault="005014C3" w:rsidP="0083699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Unclear, but likely to close</w:t>
            </w:r>
          </w:p>
        </w:tc>
        <w:tc>
          <w:tcPr>
            <w:tcW w:w="1560" w:type="dxa"/>
            <w:tcBorders>
              <w:top w:val="nil"/>
              <w:left w:val="nil"/>
              <w:bottom w:val="nil"/>
              <w:right w:val="nil"/>
            </w:tcBorders>
            <w:shd w:val="clear" w:color="auto" w:fill="auto"/>
            <w:noWrap/>
            <w:vAlign w:val="bottom"/>
            <w:hideMark/>
          </w:tcPr>
          <w:p w14:paraId="1363AE6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7226D1C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5649AA4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63159B6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49D39C0C"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83A6CB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Nevada</w:t>
            </w:r>
          </w:p>
        </w:tc>
        <w:tc>
          <w:tcPr>
            <w:tcW w:w="2760" w:type="dxa"/>
            <w:tcBorders>
              <w:top w:val="nil"/>
              <w:left w:val="nil"/>
              <w:bottom w:val="nil"/>
              <w:right w:val="nil"/>
            </w:tcBorders>
            <w:shd w:val="clear" w:color="auto" w:fill="auto"/>
            <w:noWrap/>
            <w:vAlign w:val="bottom"/>
            <w:hideMark/>
          </w:tcPr>
          <w:p w14:paraId="746A4D4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2D24571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662EF32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32326C5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5374262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29E824A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649D5E20"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56164FB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New Hampshire</w:t>
            </w:r>
          </w:p>
        </w:tc>
        <w:tc>
          <w:tcPr>
            <w:tcW w:w="2760" w:type="dxa"/>
            <w:tcBorders>
              <w:top w:val="nil"/>
              <w:left w:val="nil"/>
              <w:bottom w:val="nil"/>
              <w:right w:val="nil"/>
            </w:tcBorders>
            <w:shd w:val="clear" w:color="auto" w:fill="auto"/>
            <w:noWrap/>
            <w:vAlign w:val="bottom"/>
            <w:hideMark/>
          </w:tcPr>
          <w:p w14:paraId="30FD647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04041787" w14:textId="38F61BA1" w:rsidR="00EE4997" w:rsidRPr="00EE4997" w:rsidRDefault="005014C3" w:rsidP="00EE499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1560" w:type="dxa"/>
            <w:tcBorders>
              <w:top w:val="nil"/>
              <w:left w:val="nil"/>
              <w:bottom w:val="nil"/>
              <w:right w:val="nil"/>
            </w:tcBorders>
            <w:shd w:val="clear" w:color="auto" w:fill="auto"/>
            <w:noWrap/>
            <w:vAlign w:val="bottom"/>
            <w:hideMark/>
          </w:tcPr>
          <w:p w14:paraId="2C0757E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30C42C2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70DEE24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319CBA2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28553DF2"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0430DF2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New Jersey</w:t>
            </w:r>
          </w:p>
        </w:tc>
        <w:tc>
          <w:tcPr>
            <w:tcW w:w="2760" w:type="dxa"/>
            <w:tcBorders>
              <w:top w:val="nil"/>
              <w:left w:val="nil"/>
              <w:bottom w:val="nil"/>
              <w:right w:val="nil"/>
            </w:tcBorders>
            <w:shd w:val="clear" w:color="auto" w:fill="auto"/>
            <w:noWrap/>
            <w:vAlign w:val="bottom"/>
            <w:hideMark/>
          </w:tcPr>
          <w:p w14:paraId="61EE63E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117AF18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3491924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FA48DE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76E4729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350BFF7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197A3118"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6936371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lastRenderedPageBreak/>
              <w:t>New Mexico</w:t>
            </w:r>
          </w:p>
        </w:tc>
        <w:tc>
          <w:tcPr>
            <w:tcW w:w="2760" w:type="dxa"/>
            <w:tcBorders>
              <w:top w:val="nil"/>
              <w:left w:val="nil"/>
              <w:bottom w:val="nil"/>
              <w:right w:val="nil"/>
            </w:tcBorders>
            <w:shd w:val="clear" w:color="auto" w:fill="auto"/>
            <w:noWrap/>
            <w:vAlign w:val="bottom"/>
            <w:hideMark/>
          </w:tcPr>
          <w:p w14:paraId="5FEC66D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0B312444" w14:textId="548ED384" w:rsidR="00EE4997" w:rsidRPr="00EE4997" w:rsidRDefault="005014C3" w:rsidP="00EE499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1560" w:type="dxa"/>
            <w:tcBorders>
              <w:top w:val="nil"/>
              <w:left w:val="nil"/>
              <w:bottom w:val="nil"/>
              <w:right w:val="nil"/>
            </w:tcBorders>
            <w:shd w:val="clear" w:color="auto" w:fill="auto"/>
            <w:noWrap/>
            <w:vAlign w:val="bottom"/>
            <w:hideMark/>
          </w:tcPr>
          <w:p w14:paraId="7748EAF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36BE52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1D42926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1DF6A08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165174F5"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FBA207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New York</w:t>
            </w:r>
          </w:p>
        </w:tc>
        <w:tc>
          <w:tcPr>
            <w:tcW w:w="2760" w:type="dxa"/>
            <w:tcBorders>
              <w:top w:val="nil"/>
              <w:left w:val="nil"/>
              <w:bottom w:val="nil"/>
              <w:right w:val="nil"/>
            </w:tcBorders>
            <w:shd w:val="clear" w:color="auto" w:fill="auto"/>
            <w:noWrap/>
            <w:vAlign w:val="bottom"/>
            <w:hideMark/>
          </w:tcPr>
          <w:p w14:paraId="227C384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12885E9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14A20D1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27DE033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0B2DAA6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71EFC47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24B03EDB"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4E009F9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North Carolina</w:t>
            </w:r>
          </w:p>
        </w:tc>
        <w:tc>
          <w:tcPr>
            <w:tcW w:w="2760" w:type="dxa"/>
            <w:tcBorders>
              <w:top w:val="nil"/>
              <w:left w:val="nil"/>
              <w:bottom w:val="nil"/>
              <w:right w:val="nil"/>
            </w:tcBorders>
            <w:shd w:val="clear" w:color="auto" w:fill="auto"/>
            <w:noWrap/>
            <w:vAlign w:val="bottom"/>
            <w:hideMark/>
          </w:tcPr>
          <w:p w14:paraId="08F638D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68F0898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6ED88A3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043BEE4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0A2FC79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6609E55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664F906D"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86821E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North Dakota</w:t>
            </w:r>
          </w:p>
        </w:tc>
        <w:tc>
          <w:tcPr>
            <w:tcW w:w="2760" w:type="dxa"/>
            <w:tcBorders>
              <w:top w:val="nil"/>
              <w:left w:val="nil"/>
              <w:bottom w:val="nil"/>
              <w:right w:val="nil"/>
            </w:tcBorders>
            <w:shd w:val="clear" w:color="auto" w:fill="auto"/>
            <w:noWrap/>
            <w:vAlign w:val="bottom"/>
            <w:hideMark/>
          </w:tcPr>
          <w:p w14:paraId="6DE8E27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1A46049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0B2B08C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0CFC475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4549529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28F1FBA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0E39CC11"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5649B3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Ohio</w:t>
            </w:r>
          </w:p>
        </w:tc>
        <w:tc>
          <w:tcPr>
            <w:tcW w:w="2760" w:type="dxa"/>
            <w:tcBorders>
              <w:top w:val="nil"/>
              <w:left w:val="nil"/>
              <w:bottom w:val="nil"/>
              <w:right w:val="nil"/>
            </w:tcBorders>
            <w:shd w:val="clear" w:color="auto" w:fill="auto"/>
            <w:noWrap/>
            <w:vAlign w:val="bottom"/>
            <w:hideMark/>
          </w:tcPr>
          <w:p w14:paraId="4FA42D6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686DC13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559B740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7BE870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734F25F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3E70F37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76226457"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5A5670D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Oklahoma</w:t>
            </w:r>
          </w:p>
        </w:tc>
        <w:tc>
          <w:tcPr>
            <w:tcW w:w="2760" w:type="dxa"/>
            <w:tcBorders>
              <w:top w:val="nil"/>
              <w:left w:val="nil"/>
              <w:bottom w:val="nil"/>
              <w:right w:val="nil"/>
            </w:tcBorders>
            <w:shd w:val="clear" w:color="auto" w:fill="auto"/>
            <w:noWrap/>
            <w:vAlign w:val="bottom"/>
            <w:hideMark/>
          </w:tcPr>
          <w:p w14:paraId="413462B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11BCDD0E" w14:textId="06555B9A" w:rsidR="00EE4997" w:rsidRPr="00EE4997" w:rsidRDefault="005014C3"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1579273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63E3687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262B692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6A6D174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52080C63"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2070593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Oregon</w:t>
            </w:r>
          </w:p>
        </w:tc>
        <w:tc>
          <w:tcPr>
            <w:tcW w:w="2760" w:type="dxa"/>
            <w:tcBorders>
              <w:top w:val="nil"/>
              <w:left w:val="nil"/>
              <w:bottom w:val="nil"/>
              <w:right w:val="nil"/>
            </w:tcBorders>
            <w:shd w:val="clear" w:color="auto" w:fill="auto"/>
            <w:noWrap/>
            <w:vAlign w:val="bottom"/>
            <w:hideMark/>
          </w:tcPr>
          <w:p w14:paraId="111C47E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04FF8BD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5AA3800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D747C9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08DC8F1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106A1DD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3464C0BC"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9D003C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Pennsylvania</w:t>
            </w:r>
          </w:p>
        </w:tc>
        <w:tc>
          <w:tcPr>
            <w:tcW w:w="2760" w:type="dxa"/>
            <w:tcBorders>
              <w:top w:val="nil"/>
              <w:left w:val="nil"/>
              <w:bottom w:val="nil"/>
              <w:right w:val="nil"/>
            </w:tcBorders>
            <w:shd w:val="clear" w:color="auto" w:fill="auto"/>
            <w:noWrap/>
            <w:vAlign w:val="bottom"/>
            <w:hideMark/>
          </w:tcPr>
          <w:p w14:paraId="5C2E1D5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7028A55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625AE0E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5373CF7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1CEB1399" w14:textId="77777777" w:rsidR="00EE4997" w:rsidRPr="00EE4997" w:rsidRDefault="00EB737F" w:rsidP="00EE499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Not </w:t>
            </w:r>
            <w:r w:rsidR="00EE4997"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015BA8B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4E178EAC"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842CBF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Rhode Island</w:t>
            </w:r>
          </w:p>
        </w:tc>
        <w:tc>
          <w:tcPr>
            <w:tcW w:w="2760" w:type="dxa"/>
            <w:tcBorders>
              <w:top w:val="nil"/>
              <w:left w:val="nil"/>
              <w:bottom w:val="nil"/>
              <w:right w:val="nil"/>
            </w:tcBorders>
            <w:shd w:val="clear" w:color="auto" w:fill="auto"/>
            <w:noWrap/>
            <w:vAlign w:val="bottom"/>
            <w:hideMark/>
          </w:tcPr>
          <w:p w14:paraId="55983FC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4CD474F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0D98605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29B54C1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data reported</w:t>
            </w:r>
          </w:p>
        </w:tc>
        <w:tc>
          <w:tcPr>
            <w:tcW w:w="1630" w:type="dxa"/>
            <w:tcBorders>
              <w:top w:val="nil"/>
              <w:left w:val="nil"/>
              <w:bottom w:val="nil"/>
              <w:right w:val="nil"/>
            </w:tcBorders>
            <w:shd w:val="clear" w:color="auto" w:fill="auto"/>
            <w:noWrap/>
            <w:vAlign w:val="bottom"/>
            <w:hideMark/>
          </w:tcPr>
          <w:p w14:paraId="2B35D23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4ACDA3F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3839F1BE"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78C93DD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South Carolina</w:t>
            </w:r>
          </w:p>
        </w:tc>
        <w:tc>
          <w:tcPr>
            <w:tcW w:w="2760" w:type="dxa"/>
            <w:tcBorders>
              <w:top w:val="nil"/>
              <w:left w:val="nil"/>
              <w:bottom w:val="nil"/>
              <w:right w:val="nil"/>
            </w:tcBorders>
            <w:shd w:val="clear" w:color="auto" w:fill="auto"/>
            <w:noWrap/>
            <w:vAlign w:val="bottom"/>
            <w:hideMark/>
          </w:tcPr>
          <w:p w14:paraId="5B5552E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7359D84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58CA373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60B6024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4182B6A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4EA55851"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390533B1"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21FBE97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South Dakota</w:t>
            </w:r>
          </w:p>
        </w:tc>
        <w:tc>
          <w:tcPr>
            <w:tcW w:w="2760" w:type="dxa"/>
            <w:tcBorders>
              <w:top w:val="nil"/>
              <w:left w:val="nil"/>
              <w:bottom w:val="nil"/>
              <w:right w:val="nil"/>
            </w:tcBorders>
            <w:shd w:val="clear" w:color="auto" w:fill="auto"/>
            <w:noWrap/>
            <w:vAlign w:val="bottom"/>
            <w:hideMark/>
          </w:tcPr>
          <w:p w14:paraId="5837E26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72F56C6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Cease enrollment January 2014</w:t>
            </w:r>
          </w:p>
        </w:tc>
        <w:tc>
          <w:tcPr>
            <w:tcW w:w="1560" w:type="dxa"/>
            <w:tcBorders>
              <w:top w:val="nil"/>
              <w:left w:val="nil"/>
              <w:bottom w:val="nil"/>
              <w:right w:val="nil"/>
            </w:tcBorders>
            <w:shd w:val="clear" w:color="auto" w:fill="auto"/>
            <w:noWrap/>
            <w:vAlign w:val="bottom"/>
            <w:hideMark/>
          </w:tcPr>
          <w:p w14:paraId="4C4C5CD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2893AC5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4447F4A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1780889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2FE4857B"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79CEC8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Tennessee</w:t>
            </w:r>
          </w:p>
        </w:tc>
        <w:tc>
          <w:tcPr>
            <w:tcW w:w="2760" w:type="dxa"/>
            <w:tcBorders>
              <w:top w:val="nil"/>
              <w:left w:val="nil"/>
              <w:bottom w:val="nil"/>
              <w:right w:val="nil"/>
            </w:tcBorders>
            <w:shd w:val="clear" w:color="auto" w:fill="auto"/>
            <w:noWrap/>
            <w:vAlign w:val="bottom"/>
            <w:hideMark/>
          </w:tcPr>
          <w:p w14:paraId="7A2B186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6255644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Unknown</w:t>
            </w:r>
          </w:p>
        </w:tc>
        <w:tc>
          <w:tcPr>
            <w:tcW w:w="1560" w:type="dxa"/>
            <w:tcBorders>
              <w:top w:val="nil"/>
              <w:left w:val="nil"/>
              <w:bottom w:val="nil"/>
              <w:right w:val="nil"/>
            </w:tcBorders>
            <w:shd w:val="clear" w:color="auto" w:fill="auto"/>
            <w:noWrap/>
            <w:vAlign w:val="bottom"/>
            <w:hideMark/>
          </w:tcPr>
          <w:p w14:paraId="00F46DF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3C2BF18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7CDD9C7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5CC9418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69138B88"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6CE18F8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Texas</w:t>
            </w:r>
          </w:p>
        </w:tc>
        <w:tc>
          <w:tcPr>
            <w:tcW w:w="2760" w:type="dxa"/>
            <w:tcBorders>
              <w:top w:val="nil"/>
              <w:left w:val="nil"/>
              <w:bottom w:val="nil"/>
              <w:right w:val="nil"/>
            </w:tcBorders>
            <w:shd w:val="clear" w:color="auto" w:fill="auto"/>
            <w:noWrap/>
            <w:vAlign w:val="bottom"/>
            <w:hideMark/>
          </w:tcPr>
          <w:p w14:paraId="244D2C8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3FB301B4" w14:textId="13A7E4F6" w:rsidR="00EE4997" w:rsidRPr="00EE4997" w:rsidRDefault="005014C3" w:rsidP="00EE499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Unclear, but likely to close</w:t>
            </w:r>
          </w:p>
        </w:tc>
        <w:tc>
          <w:tcPr>
            <w:tcW w:w="1560" w:type="dxa"/>
            <w:tcBorders>
              <w:top w:val="nil"/>
              <w:left w:val="nil"/>
              <w:bottom w:val="nil"/>
              <w:right w:val="nil"/>
            </w:tcBorders>
            <w:shd w:val="clear" w:color="auto" w:fill="auto"/>
            <w:noWrap/>
            <w:vAlign w:val="bottom"/>
            <w:hideMark/>
          </w:tcPr>
          <w:p w14:paraId="5155201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49BE14E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1C350BB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3A0EE92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 Exchange</w:t>
            </w:r>
          </w:p>
        </w:tc>
      </w:tr>
      <w:tr w:rsidR="00EE4997" w:rsidRPr="00EE4997" w14:paraId="08B16D0A"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2DDCBEB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Utah</w:t>
            </w:r>
          </w:p>
        </w:tc>
        <w:tc>
          <w:tcPr>
            <w:tcW w:w="2760" w:type="dxa"/>
            <w:tcBorders>
              <w:top w:val="nil"/>
              <w:left w:val="nil"/>
              <w:bottom w:val="nil"/>
              <w:right w:val="nil"/>
            </w:tcBorders>
            <w:shd w:val="clear" w:color="auto" w:fill="auto"/>
            <w:noWrap/>
            <w:vAlign w:val="bottom"/>
            <w:hideMark/>
          </w:tcPr>
          <w:p w14:paraId="088E4CC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56251CC7" w14:textId="2B0765D2" w:rsidR="00EE4997" w:rsidRPr="00EE4997" w:rsidRDefault="005014C3" w:rsidP="00EE499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1560" w:type="dxa"/>
            <w:tcBorders>
              <w:top w:val="nil"/>
              <w:left w:val="nil"/>
              <w:bottom w:val="nil"/>
              <w:right w:val="nil"/>
            </w:tcBorders>
            <w:shd w:val="clear" w:color="auto" w:fill="auto"/>
            <w:noWrap/>
            <w:vAlign w:val="bottom"/>
            <w:hideMark/>
          </w:tcPr>
          <w:p w14:paraId="68CDE2F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3D8A2F4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794453B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4D4C71A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35F89B85"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9B0C9C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Vermont</w:t>
            </w:r>
          </w:p>
        </w:tc>
        <w:tc>
          <w:tcPr>
            <w:tcW w:w="2760" w:type="dxa"/>
            <w:tcBorders>
              <w:top w:val="nil"/>
              <w:left w:val="nil"/>
              <w:bottom w:val="nil"/>
              <w:right w:val="nil"/>
            </w:tcBorders>
            <w:shd w:val="clear" w:color="auto" w:fill="auto"/>
            <w:noWrap/>
            <w:vAlign w:val="bottom"/>
            <w:hideMark/>
          </w:tcPr>
          <w:p w14:paraId="2E3A03D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02B2A84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1AED61D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1FD0211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data reported</w:t>
            </w:r>
          </w:p>
        </w:tc>
        <w:tc>
          <w:tcPr>
            <w:tcW w:w="1630" w:type="dxa"/>
            <w:tcBorders>
              <w:top w:val="nil"/>
              <w:left w:val="nil"/>
              <w:bottom w:val="nil"/>
              <w:right w:val="nil"/>
            </w:tcBorders>
            <w:shd w:val="clear" w:color="auto" w:fill="auto"/>
            <w:noWrap/>
            <w:vAlign w:val="bottom"/>
            <w:hideMark/>
          </w:tcPr>
          <w:p w14:paraId="0E9377D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4A68EA7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60EF0E26"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1D731C8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Virginia</w:t>
            </w:r>
          </w:p>
        </w:tc>
        <w:tc>
          <w:tcPr>
            <w:tcW w:w="2760" w:type="dxa"/>
            <w:tcBorders>
              <w:top w:val="nil"/>
              <w:left w:val="nil"/>
              <w:bottom w:val="nil"/>
              <w:right w:val="nil"/>
            </w:tcBorders>
            <w:shd w:val="clear" w:color="auto" w:fill="auto"/>
            <w:noWrap/>
            <w:vAlign w:val="bottom"/>
            <w:hideMark/>
          </w:tcPr>
          <w:p w14:paraId="641B21E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2860" w:type="dxa"/>
            <w:tcBorders>
              <w:top w:val="nil"/>
              <w:left w:val="nil"/>
              <w:bottom w:val="nil"/>
              <w:right w:val="nil"/>
            </w:tcBorders>
            <w:shd w:val="clear" w:color="auto" w:fill="auto"/>
            <w:noWrap/>
            <w:vAlign w:val="bottom"/>
            <w:hideMark/>
          </w:tcPr>
          <w:p w14:paraId="7FF00B6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Pool</w:t>
            </w:r>
          </w:p>
        </w:tc>
        <w:tc>
          <w:tcPr>
            <w:tcW w:w="1560" w:type="dxa"/>
            <w:tcBorders>
              <w:top w:val="nil"/>
              <w:left w:val="nil"/>
              <w:bottom w:val="nil"/>
              <w:right w:val="nil"/>
            </w:tcBorders>
            <w:shd w:val="clear" w:color="auto" w:fill="auto"/>
            <w:noWrap/>
            <w:vAlign w:val="bottom"/>
            <w:hideMark/>
          </w:tcPr>
          <w:p w14:paraId="36F27DF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0FD7E0E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67DC964C"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147ED64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53DD1606"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4DFEB60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Washington</w:t>
            </w:r>
          </w:p>
        </w:tc>
        <w:tc>
          <w:tcPr>
            <w:tcW w:w="2760" w:type="dxa"/>
            <w:tcBorders>
              <w:top w:val="nil"/>
              <w:left w:val="nil"/>
              <w:bottom w:val="nil"/>
              <w:right w:val="nil"/>
            </w:tcBorders>
            <w:shd w:val="clear" w:color="auto" w:fill="auto"/>
            <w:noWrap/>
            <w:vAlign w:val="bottom"/>
            <w:hideMark/>
          </w:tcPr>
          <w:p w14:paraId="3F99E57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0E03CAB0" w14:textId="55D9E275" w:rsidR="00EE4997" w:rsidRPr="00EE4997" w:rsidRDefault="005014C3" w:rsidP="0083699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1560" w:type="dxa"/>
            <w:tcBorders>
              <w:top w:val="nil"/>
              <w:left w:val="nil"/>
              <w:bottom w:val="nil"/>
              <w:right w:val="nil"/>
            </w:tcBorders>
            <w:shd w:val="clear" w:color="auto" w:fill="auto"/>
            <w:noWrap/>
            <w:vAlign w:val="bottom"/>
            <w:hideMark/>
          </w:tcPr>
          <w:p w14:paraId="428382F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4A447DC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4099DD5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Participating</w:t>
            </w:r>
          </w:p>
        </w:tc>
        <w:tc>
          <w:tcPr>
            <w:tcW w:w="2380" w:type="dxa"/>
            <w:tcBorders>
              <w:top w:val="nil"/>
              <w:left w:val="nil"/>
              <w:bottom w:val="nil"/>
              <w:right w:val="single" w:sz="8" w:space="0" w:color="auto"/>
            </w:tcBorders>
            <w:shd w:val="clear" w:color="auto" w:fill="auto"/>
            <w:noWrap/>
            <w:vAlign w:val="bottom"/>
            <w:hideMark/>
          </w:tcPr>
          <w:p w14:paraId="69CC0B5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6A480D93"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63A2CE3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West Virginia</w:t>
            </w:r>
          </w:p>
        </w:tc>
        <w:tc>
          <w:tcPr>
            <w:tcW w:w="2760" w:type="dxa"/>
            <w:tcBorders>
              <w:top w:val="nil"/>
              <w:left w:val="nil"/>
              <w:bottom w:val="nil"/>
              <w:right w:val="nil"/>
            </w:tcBorders>
            <w:shd w:val="clear" w:color="auto" w:fill="auto"/>
            <w:noWrap/>
            <w:vAlign w:val="bottom"/>
            <w:hideMark/>
          </w:tcPr>
          <w:p w14:paraId="77CD7B8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nil"/>
              <w:right w:val="nil"/>
            </w:tcBorders>
            <w:shd w:val="clear" w:color="auto" w:fill="auto"/>
            <w:noWrap/>
            <w:vAlign w:val="bottom"/>
            <w:hideMark/>
          </w:tcPr>
          <w:p w14:paraId="2109C82F"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Close operation January 2014</w:t>
            </w:r>
          </w:p>
        </w:tc>
        <w:tc>
          <w:tcPr>
            <w:tcW w:w="1560" w:type="dxa"/>
            <w:tcBorders>
              <w:top w:val="nil"/>
              <w:left w:val="nil"/>
              <w:bottom w:val="nil"/>
              <w:right w:val="nil"/>
            </w:tcBorders>
            <w:shd w:val="clear" w:color="auto" w:fill="auto"/>
            <w:noWrap/>
            <w:vAlign w:val="bottom"/>
            <w:hideMark/>
          </w:tcPr>
          <w:p w14:paraId="0F518593"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nil"/>
              <w:right w:val="nil"/>
            </w:tcBorders>
            <w:shd w:val="clear" w:color="auto" w:fill="auto"/>
            <w:noWrap/>
            <w:vAlign w:val="bottom"/>
            <w:hideMark/>
          </w:tcPr>
          <w:p w14:paraId="457E0B5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nil"/>
              <w:right w:val="nil"/>
            </w:tcBorders>
            <w:shd w:val="clear" w:color="auto" w:fill="auto"/>
            <w:noWrap/>
            <w:vAlign w:val="bottom"/>
            <w:hideMark/>
          </w:tcPr>
          <w:p w14:paraId="0F86695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nil"/>
              <w:right w:val="single" w:sz="8" w:space="0" w:color="auto"/>
            </w:tcBorders>
            <w:shd w:val="clear" w:color="auto" w:fill="auto"/>
            <w:noWrap/>
            <w:vAlign w:val="bottom"/>
            <w:hideMark/>
          </w:tcPr>
          <w:p w14:paraId="3283184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State-Federal Partnership</w:t>
            </w:r>
          </w:p>
        </w:tc>
      </w:tr>
      <w:tr w:rsidR="00EE4997" w:rsidRPr="00EE4997" w14:paraId="73C73396" w14:textId="77777777" w:rsidTr="00F1057E">
        <w:trPr>
          <w:trHeight w:val="300"/>
        </w:trPr>
        <w:tc>
          <w:tcPr>
            <w:tcW w:w="1420" w:type="dxa"/>
            <w:tcBorders>
              <w:top w:val="nil"/>
              <w:left w:val="single" w:sz="8" w:space="0" w:color="auto"/>
              <w:bottom w:val="nil"/>
              <w:right w:val="nil"/>
            </w:tcBorders>
            <w:shd w:val="clear" w:color="auto" w:fill="auto"/>
            <w:noWrap/>
            <w:vAlign w:val="bottom"/>
            <w:hideMark/>
          </w:tcPr>
          <w:p w14:paraId="693DA4CE"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Wisconsin</w:t>
            </w:r>
          </w:p>
        </w:tc>
        <w:tc>
          <w:tcPr>
            <w:tcW w:w="2760" w:type="dxa"/>
            <w:tcBorders>
              <w:top w:val="nil"/>
              <w:left w:val="nil"/>
              <w:bottom w:val="nil"/>
              <w:right w:val="nil"/>
            </w:tcBorders>
            <w:shd w:val="clear" w:color="auto" w:fill="auto"/>
            <w:noWrap/>
            <w:vAlign w:val="bottom"/>
            <w:hideMark/>
          </w:tcPr>
          <w:p w14:paraId="7CE85BF5"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ADAP Enrollment</w:t>
            </w:r>
          </w:p>
        </w:tc>
        <w:tc>
          <w:tcPr>
            <w:tcW w:w="2860" w:type="dxa"/>
            <w:tcBorders>
              <w:top w:val="nil"/>
              <w:left w:val="nil"/>
              <w:bottom w:val="nil"/>
              <w:right w:val="nil"/>
            </w:tcBorders>
            <w:shd w:val="clear" w:color="auto" w:fill="auto"/>
            <w:noWrap/>
            <w:vAlign w:val="bottom"/>
            <w:hideMark/>
          </w:tcPr>
          <w:p w14:paraId="791CC022" w14:textId="22D1930C" w:rsidR="00EE4997" w:rsidRPr="00EE4997" w:rsidRDefault="005014C3" w:rsidP="00EE499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1560" w:type="dxa"/>
            <w:tcBorders>
              <w:top w:val="nil"/>
              <w:left w:val="nil"/>
              <w:bottom w:val="nil"/>
              <w:right w:val="nil"/>
            </w:tcBorders>
            <w:shd w:val="clear" w:color="auto" w:fill="auto"/>
            <w:noWrap/>
            <w:vAlign w:val="bottom"/>
            <w:hideMark/>
          </w:tcPr>
          <w:p w14:paraId="5F03DB8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w:t>
            </w:r>
          </w:p>
        </w:tc>
        <w:tc>
          <w:tcPr>
            <w:tcW w:w="1890" w:type="dxa"/>
            <w:tcBorders>
              <w:top w:val="nil"/>
              <w:left w:val="nil"/>
              <w:bottom w:val="nil"/>
              <w:right w:val="nil"/>
            </w:tcBorders>
            <w:shd w:val="clear" w:color="auto" w:fill="auto"/>
            <w:noWrap/>
            <w:vAlign w:val="bottom"/>
            <w:hideMark/>
          </w:tcPr>
          <w:p w14:paraId="320A8C29"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Allows Enrollment</w:t>
            </w:r>
          </w:p>
        </w:tc>
        <w:tc>
          <w:tcPr>
            <w:tcW w:w="1630" w:type="dxa"/>
            <w:tcBorders>
              <w:top w:val="nil"/>
              <w:left w:val="nil"/>
              <w:bottom w:val="nil"/>
              <w:right w:val="nil"/>
            </w:tcBorders>
            <w:shd w:val="clear" w:color="auto" w:fill="auto"/>
            <w:noWrap/>
            <w:vAlign w:val="bottom"/>
            <w:hideMark/>
          </w:tcPr>
          <w:p w14:paraId="59AFD5DD"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Not Participating</w:t>
            </w:r>
          </w:p>
        </w:tc>
        <w:tc>
          <w:tcPr>
            <w:tcW w:w="2380" w:type="dxa"/>
            <w:tcBorders>
              <w:top w:val="nil"/>
              <w:left w:val="nil"/>
              <w:bottom w:val="nil"/>
              <w:right w:val="single" w:sz="8" w:space="0" w:color="auto"/>
            </w:tcBorders>
            <w:shd w:val="clear" w:color="auto" w:fill="auto"/>
            <w:noWrap/>
            <w:vAlign w:val="bottom"/>
            <w:hideMark/>
          </w:tcPr>
          <w:p w14:paraId="49AC5860"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5D0F9CB3" w14:textId="77777777" w:rsidTr="00F1057E">
        <w:trPr>
          <w:trHeight w:val="315"/>
        </w:trPr>
        <w:tc>
          <w:tcPr>
            <w:tcW w:w="1420" w:type="dxa"/>
            <w:tcBorders>
              <w:top w:val="nil"/>
              <w:left w:val="single" w:sz="8" w:space="0" w:color="auto"/>
              <w:bottom w:val="single" w:sz="8" w:space="0" w:color="auto"/>
              <w:right w:val="nil"/>
            </w:tcBorders>
            <w:shd w:val="clear" w:color="auto" w:fill="auto"/>
            <w:noWrap/>
            <w:vAlign w:val="bottom"/>
            <w:hideMark/>
          </w:tcPr>
          <w:p w14:paraId="3C13041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Wyoming</w:t>
            </w:r>
          </w:p>
        </w:tc>
        <w:tc>
          <w:tcPr>
            <w:tcW w:w="2760" w:type="dxa"/>
            <w:tcBorders>
              <w:top w:val="nil"/>
              <w:left w:val="nil"/>
              <w:bottom w:val="single" w:sz="8" w:space="0" w:color="auto"/>
              <w:right w:val="nil"/>
            </w:tcBorders>
            <w:shd w:val="clear" w:color="auto" w:fill="auto"/>
            <w:noWrap/>
            <w:vAlign w:val="bottom"/>
            <w:hideMark/>
          </w:tcPr>
          <w:p w14:paraId="4090D746"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Pool, but no ADAP enrollment</w:t>
            </w:r>
          </w:p>
        </w:tc>
        <w:tc>
          <w:tcPr>
            <w:tcW w:w="2860" w:type="dxa"/>
            <w:tcBorders>
              <w:top w:val="nil"/>
              <w:left w:val="nil"/>
              <w:bottom w:val="single" w:sz="8" w:space="0" w:color="auto"/>
              <w:right w:val="nil"/>
            </w:tcBorders>
            <w:shd w:val="clear" w:color="auto" w:fill="auto"/>
            <w:noWrap/>
            <w:vAlign w:val="bottom"/>
            <w:hideMark/>
          </w:tcPr>
          <w:p w14:paraId="0F9F6802"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Continue operating post-2014</w:t>
            </w:r>
          </w:p>
        </w:tc>
        <w:tc>
          <w:tcPr>
            <w:tcW w:w="1560" w:type="dxa"/>
            <w:tcBorders>
              <w:top w:val="nil"/>
              <w:left w:val="nil"/>
              <w:bottom w:val="single" w:sz="8" w:space="0" w:color="auto"/>
              <w:right w:val="nil"/>
            </w:tcBorders>
            <w:shd w:val="clear" w:color="auto" w:fill="auto"/>
            <w:noWrap/>
            <w:vAlign w:val="bottom"/>
            <w:hideMark/>
          </w:tcPr>
          <w:p w14:paraId="7165C474"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Federal</w:t>
            </w:r>
          </w:p>
        </w:tc>
        <w:tc>
          <w:tcPr>
            <w:tcW w:w="1890" w:type="dxa"/>
            <w:tcBorders>
              <w:top w:val="nil"/>
              <w:left w:val="nil"/>
              <w:bottom w:val="single" w:sz="8" w:space="0" w:color="auto"/>
              <w:right w:val="nil"/>
            </w:tcBorders>
            <w:shd w:val="clear" w:color="auto" w:fill="auto"/>
            <w:noWrap/>
            <w:vAlign w:val="bottom"/>
            <w:hideMark/>
          </w:tcPr>
          <w:p w14:paraId="682E8B07"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No enrollment</w:t>
            </w:r>
          </w:p>
        </w:tc>
        <w:tc>
          <w:tcPr>
            <w:tcW w:w="1630" w:type="dxa"/>
            <w:tcBorders>
              <w:top w:val="nil"/>
              <w:left w:val="nil"/>
              <w:bottom w:val="single" w:sz="8" w:space="0" w:color="auto"/>
              <w:right w:val="nil"/>
            </w:tcBorders>
            <w:shd w:val="clear" w:color="auto" w:fill="auto"/>
            <w:noWrap/>
            <w:vAlign w:val="bottom"/>
            <w:hideMark/>
          </w:tcPr>
          <w:p w14:paraId="5C98732B"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Undecided</w:t>
            </w:r>
          </w:p>
        </w:tc>
        <w:tc>
          <w:tcPr>
            <w:tcW w:w="2380" w:type="dxa"/>
            <w:tcBorders>
              <w:top w:val="nil"/>
              <w:left w:val="nil"/>
              <w:bottom w:val="single" w:sz="8" w:space="0" w:color="auto"/>
              <w:right w:val="single" w:sz="8" w:space="0" w:color="auto"/>
            </w:tcBorders>
            <w:shd w:val="clear" w:color="auto" w:fill="auto"/>
            <w:noWrap/>
            <w:vAlign w:val="bottom"/>
            <w:hideMark/>
          </w:tcPr>
          <w:p w14:paraId="5F871A7A"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State-run exchange</w:t>
            </w:r>
          </w:p>
        </w:tc>
      </w:tr>
      <w:tr w:rsidR="00EE4997" w:rsidRPr="00EE4997" w14:paraId="6C78DF29" w14:textId="77777777" w:rsidTr="00F1057E">
        <w:trPr>
          <w:trHeight w:val="300"/>
        </w:trPr>
        <w:tc>
          <w:tcPr>
            <w:tcW w:w="1420" w:type="dxa"/>
            <w:tcBorders>
              <w:top w:val="nil"/>
              <w:left w:val="nil"/>
              <w:bottom w:val="nil"/>
              <w:right w:val="nil"/>
            </w:tcBorders>
            <w:shd w:val="clear" w:color="auto" w:fill="auto"/>
            <w:noWrap/>
            <w:vAlign w:val="bottom"/>
            <w:hideMark/>
          </w:tcPr>
          <w:p w14:paraId="3AFB6BD3" w14:textId="77777777" w:rsidR="00EE4997" w:rsidRPr="00EE4997" w:rsidRDefault="00EE4997" w:rsidP="00EE4997">
            <w:pPr>
              <w:rPr>
                <w:rFonts w:ascii="Calibri" w:eastAsia="Times New Roman" w:hAnsi="Calibri" w:cs="Times New Roman"/>
                <w:color w:val="000000"/>
                <w:sz w:val="20"/>
                <w:szCs w:val="20"/>
              </w:rPr>
            </w:pPr>
          </w:p>
        </w:tc>
        <w:tc>
          <w:tcPr>
            <w:tcW w:w="2760" w:type="dxa"/>
            <w:tcBorders>
              <w:top w:val="nil"/>
              <w:left w:val="nil"/>
              <w:bottom w:val="nil"/>
              <w:right w:val="nil"/>
            </w:tcBorders>
            <w:shd w:val="clear" w:color="auto" w:fill="auto"/>
            <w:noWrap/>
            <w:vAlign w:val="bottom"/>
            <w:hideMark/>
          </w:tcPr>
          <w:p w14:paraId="5A644D99" w14:textId="77777777" w:rsidR="00EE4997" w:rsidRPr="00EE4997" w:rsidRDefault="00EE4997" w:rsidP="00EE4997">
            <w:pPr>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5501DF84" w14:textId="77777777" w:rsidR="00EE4997" w:rsidRPr="00EE4997" w:rsidRDefault="00EE4997" w:rsidP="00EE4997">
            <w:pP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3E8AB3C" w14:textId="77777777" w:rsidR="00EE4997" w:rsidRPr="00EE4997" w:rsidRDefault="00EE4997" w:rsidP="00EE4997">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4FFE064C" w14:textId="77777777" w:rsidR="00EE4997" w:rsidRPr="00EE4997" w:rsidRDefault="00EE4997" w:rsidP="00EE4997">
            <w:pPr>
              <w:rPr>
                <w:rFonts w:ascii="Times New Roman" w:eastAsia="Times New Roman" w:hAnsi="Times New Roman" w:cs="Times New Roman"/>
                <w:sz w:val="20"/>
                <w:szCs w:val="20"/>
              </w:rPr>
            </w:pPr>
          </w:p>
        </w:tc>
        <w:tc>
          <w:tcPr>
            <w:tcW w:w="1630" w:type="dxa"/>
            <w:tcBorders>
              <w:top w:val="nil"/>
              <w:left w:val="nil"/>
              <w:bottom w:val="nil"/>
              <w:right w:val="nil"/>
            </w:tcBorders>
            <w:shd w:val="clear" w:color="auto" w:fill="auto"/>
            <w:noWrap/>
            <w:vAlign w:val="bottom"/>
            <w:hideMark/>
          </w:tcPr>
          <w:p w14:paraId="5F4461DB" w14:textId="77777777" w:rsidR="00EE4997" w:rsidRPr="00EE4997" w:rsidRDefault="00EE4997" w:rsidP="00EE4997">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5D6AFD00" w14:textId="77777777" w:rsidR="00EE4997" w:rsidRPr="00EE4997" w:rsidRDefault="00EE4997" w:rsidP="00EE4997">
            <w:pPr>
              <w:rPr>
                <w:rFonts w:ascii="Times New Roman" w:eastAsia="Times New Roman" w:hAnsi="Times New Roman" w:cs="Times New Roman"/>
                <w:sz w:val="20"/>
                <w:szCs w:val="20"/>
              </w:rPr>
            </w:pPr>
          </w:p>
        </w:tc>
      </w:tr>
      <w:tr w:rsidR="00EE4997" w:rsidRPr="00EE4997" w14:paraId="7FF9B203" w14:textId="77777777" w:rsidTr="00F1057E">
        <w:trPr>
          <w:trHeight w:val="300"/>
        </w:trPr>
        <w:tc>
          <w:tcPr>
            <w:tcW w:w="1420" w:type="dxa"/>
            <w:tcBorders>
              <w:top w:val="nil"/>
              <w:left w:val="nil"/>
              <w:bottom w:val="nil"/>
              <w:right w:val="nil"/>
            </w:tcBorders>
            <w:shd w:val="clear" w:color="auto" w:fill="auto"/>
            <w:noWrap/>
            <w:vAlign w:val="bottom"/>
            <w:hideMark/>
          </w:tcPr>
          <w:p w14:paraId="741612E4" w14:textId="77777777" w:rsidR="00EE4997" w:rsidRPr="00EE4997" w:rsidRDefault="00EE4997" w:rsidP="00EE4997">
            <w:pPr>
              <w:rPr>
                <w:rFonts w:ascii="Times New Roman" w:eastAsia="Times New Roman" w:hAnsi="Times New Roman" w:cs="Times New Roman"/>
                <w:sz w:val="20"/>
                <w:szCs w:val="20"/>
              </w:rPr>
            </w:pPr>
          </w:p>
        </w:tc>
        <w:tc>
          <w:tcPr>
            <w:tcW w:w="2760" w:type="dxa"/>
            <w:tcBorders>
              <w:top w:val="nil"/>
              <w:left w:val="nil"/>
              <w:bottom w:val="nil"/>
              <w:right w:val="nil"/>
            </w:tcBorders>
            <w:shd w:val="clear" w:color="auto" w:fill="auto"/>
            <w:noWrap/>
            <w:vAlign w:val="bottom"/>
            <w:hideMark/>
          </w:tcPr>
          <w:p w14:paraId="0DDF9D5B" w14:textId="77777777" w:rsidR="00EE4997" w:rsidRPr="00EE4997" w:rsidRDefault="00EE4997" w:rsidP="00EE4997">
            <w:pPr>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56A46E85" w14:textId="77777777" w:rsidR="00EE4997" w:rsidRPr="00EE4997" w:rsidRDefault="00EE4997" w:rsidP="00EE4997">
            <w:pP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D30C293" w14:textId="77777777" w:rsidR="00EE4997" w:rsidRPr="00EE4997" w:rsidRDefault="00EE4997" w:rsidP="00EE4997">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52A56E92" w14:textId="77777777" w:rsidR="00EE4997" w:rsidRPr="00EE4997" w:rsidRDefault="00EE4997" w:rsidP="00EE4997">
            <w:pPr>
              <w:rPr>
                <w:rFonts w:ascii="Times New Roman" w:eastAsia="Times New Roman" w:hAnsi="Times New Roman" w:cs="Times New Roman"/>
                <w:sz w:val="20"/>
                <w:szCs w:val="20"/>
              </w:rPr>
            </w:pPr>
          </w:p>
        </w:tc>
        <w:tc>
          <w:tcPr>
            <w:tcW w:w="1630" w:type="dxa"/>
            <w:tcBorders>
              <w:top w:val="nil"/>
              <w:left w:val="nil"/>
              <w:bottom w:val="nil"/>
              <w:right w:val="nil"/>
            </w:tcBorders>
            <w:shd w:val="clear" w:color="auto" w:fill="auto"/>
            <w:noWrap/>
            <w:vAlign w:val="bottom"/>
            <w:hideMark/>
          </w:tcPr>
          <w:p w14:paraId="2F8FC9E8" w14:textId="77777777" w:rsidR="00EE4997" w:rsidRPr="00EE4997" w:rsidRDefault="00EE4997" w:rsidP="00EE4997">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3A418E37" w14:textId="77777777" w:rsidR="00EE4997" w:rsidRPr="00EE4997" w:rsidRDefault="00EE4997" w:rsidP="00EE4997">
            <w:pPr>
              <w:rPr>
                <w:rFonts w:ascii="Times New Roman" w:eastAsia="Times New Roman" w:hAnsi="Times New Roman" w:cs="Times New Roman"/>
                <w:sz w:val="20"/>
                <w:szCs w:val="20"/>
              </w:rPr>
            </w:pPr>
          </w:p>
        </w:tc>
      </w:tr>
      <w:tr w:rsidR="00EE4997" w:rsidRPr="00EE4997" w14:paraId="28555925" w14:textId="77777777" w:rsidTr="00F1057E">
        <w:trPr>
          <w:trHeight w:val="300"/>
        </w:trPr>
        <w:tc>
          <w:tcPr>
            <w:tcW w:w="7040" w:type="dxa"/>
            <w:gridSpan w:val="3"/>
            <w:tcBorders>
              <w:top w:val="nil"/>
              <w:left w:val="nil"/>
              <w:bottom w:val="nil"/>
              <w:right w:val="nil"/>
            </w:tcBorders>
            <w:shd w:val="clear" w:color="auto" w:fill="auto"/>
            <w:noWrap/>
            <w:vAlign w:val="bottom"/>
            <w:hideMark/>
          </w:tcPr>
          <w:p w14:paraId="292F1BB8" w14:textId="77777777" w:rsidR="00EE4997" w:rsidRPr="00EE4997" w:rsidRDefault="00EE4997" w:rsidP="00EE4997">
            <w:pPr>
              <w:rPr>
                <w:rFonts w:ascii="Calibri" w:eastAsia="Times New Roman" w:hAnsi="Calibri" w:cs="Times New Roman"/>
                <w:color w:val="000000"/>
                <w:sz w:val="20"/>
                <w:szCs w:val="20"/>
              </w:rPr>
            </w:pPr>
            <w:r w:rsidRPr="00EE4997">
              <w:rPr>
                <w:rFonts w:ascii="Calibri" w:eastAsia="Times New Roman" w:hAnsi="Calibri" w:cs="Times New Roman"/>
                <w:color w:val="000000"/>
                <w:sz w:val="20"/>
                <w:szCs w:val="20"/>
              </w:rPr>
              <w:t>1: Alaska plans to plans to continue operating HRP, may also operate as reinsurance</w:t>
            </w:r>
          </w:p>
        </w:tc>
        <w:tc>
          <w:tcPr>
            <w:tcW w:w="1560" w:type="dxa"/>
            <w:tcBorders>
              <w:top w:val="nil"/>
              <w:left w:val="nil"/>
              <w:bottom w:val="nil"/>
              <w:right w:val="nil"/>
            </w:tcBorders>
            <w:shd w:val="clear" w:color="auto" w:fill="auto"/>
            <w:noWrap/>
            <w:vAlign w:val="bottom"/>
            <w:hideMark/>
          </w:tcPr>
          <w:p w14:paraId="0F473AC9" w14:textId="77777777" w:rsidR="00EE4997" w:rsidRPr="00EE4997" w:rsidRDefault="00EE4997" w:rsidP="00EE4997">
            <w:pPr>
              <w:rPr>
                <w:rFonts w:ascii="Calibri" w:eastAsia="Times New Roman" w:hAnsi="Calibri" w:cs="Times New Roman"/>
                <w:color w:val="000000"/>
                <w:sz w:val="20"/>
                <w:szCs w:val="20"/>
              </w:rPr>
            </w:pPr>
          </w:p>
        </w:tc>
        <w:tc>
          <w:tcPr>
            <w:tcW w:w="1890" w:type="dxa"/>
            <w:tcBorders>
              <w:top w:val="nil"/>
              <w:left w:val="nil"/>
              <w:bottom w:val="nil"/>
              <w:right w:val="nil"/>
            </w:tcBorders>
            <w:shd w:val="clear" w:color="auto" w:fill="auto"/>
            <w:noWrap/>
            <w:vAlign w:val="bottom"/>
            <w:hideMark/>
          </w:tcPr>
          <w:p w14:paraId="3AA6FBCC" w14:textId="77777777" w:rsidR="00EE4997" w:rsidRPr="00EE4997" w:rsidRDefault="00EE4997" w:rsidP="00EE4997">
            <w:pPr>
              <w:rPr>
                <w:rFonts w:ascii="Times New Roman" w:eastAsia="Times New Roman" w:hAnsi="Times New Roman" w:cs="Times New Roman"/>
                <w:sz w:val="20"/>
                <w:szCs w:val="20"/>
              </w:rPr>
            </w:pPr>
          </w:p>
        </w:tc>
        <w:tc>
          <w:tcPr>
            <w:tcW w:w="1630" w:type="dxa"/>
            <w:tcBorders>
              <w:top w:val="nil"/>
              <w:left w:val="nil"/>
              <w:bottom w:val="nil"/>
              <w:right w:val="nil"/>
            </w:tcBorders>
            <w:shd w:val="clear" w:color="auto" w:fill="auto"/>
            <w:noWrap/>
            <w:vAlign w:val="bottom"/>
            <w:hideMark/>
          </w:tcPr>
          <w:p w14:paraId="3316A597" w14:textId="77777777" w:rsidR="00EE4997" w:rsidRPr="00EE4997" w:rsidRDefault="00EE4997" w:rsidP="00EE4997">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06DB5B97" w14:textId="77777777" w:rsidR="00EE4997" w:rsidRPr="00EE4997" w:rsidRDefault="00EE4997" w:rsidP="00EE4997">
            <w:pPr>
              <w:rPr>
                <w:rFonts w:ascii="Times New Roman" w:eastAsia="Times New Roman" w:hAnsi="Times New Roman" w:cs="Times New Roman"/>
                <w:sz w:val="20"/>
                <w:szCs w:val="20"/>
              </w:rPr>
            </w:pPr>
          </w:p>
        </w:tc>
      </w:tr>
      <w:tr w:rsidR="005014C3" w:rsidRPr="00EE4997" w14:paraId="744E06D1" w14:textId="77777777" w:rsidTr="00F1057E">
        <w:trPr>
          <w:trHeight w:val="300"/>
        </w:trPr>
        <w:tc>
          <w:tcPr>
            <w:tcW w:w="7040" w:type="dxa"/>
            <w:gridSpan w:val="3"/>
            <w:tcBorders>
              <w:top w:val="nil"/>
              <w:left w:val="nil"/>
              <w:bottom w:val="nil"/>
              <w:right w:val="nil"/>
            </w:tcBorders>
            <w:shd w:val="clear" w:color="auto" w:fill="auto"/>
            <w:noWrap/>
            <w:vAlign w:val="bottom"/>
          </w:tcPr>
          <w:p w14:paraId="6D499723" w14:textId="0A61F9E6" w:rsidR="005014C3" w:rsidRPr="00EE4997" w:rsidRDefault="005014C3" w:rsidP="007568E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EE4997">
              <w:rPr>
                <w:rFonts w:ascii="Calibri" w:eastAsia="Times New Roman" w:hAnsi="Calibri" w:cs="Times New Roman"/>
                <w:color w:val="000000"/>
                <w:sz w:val="20"/>
                <w:szCs w:val="20"/>
              </w:rPr>
              <w:t xml:space="preserve">: Mississippi, New Mexico, Utah and Wisconsin plan to keep pool open temporarily </w:t>
            </w:r>
            <w:r w:rsidR="007568E2">
              <w:rPr>
                <w:rFonts w:ascii="Calibri" w:eastAsia="Times New Roman" w:hAnsi="Calibri" w:cs="Times New Roman"/>
                <w:color w:val="000000"/>
                <w:sz w:val="20"/>
                <w:szCs w:val="20"/>
              </w:rPr>
              <w:t>a</w:t>
            </w:r>
            <w:r w:rsidRPr="00EE4997">
              <w:rPr>
                <w:rFonts w:ascii="Calibri" w:eastAsia="Times New Roman" w:hAnsi="Calibri" w:cs="Times New Roman"/>
                <w:color w:val="000000"/>
                <w:sz w:val="20"/>
                <w:szCs w:val="20"/>
              </w:rPr>
              <w:t>nd operate as reinsurance plan.</w:t>
            </w:r>
          </w:p>
        </w:tc>
        <w:tc>
          <w:tcPr>
            <w:tcW w:w="1560" w:type="dxa"/>
            <w:tcBorders>
              <w:top w:val="nil"/>
              <w:left w:val="nil"/>
              <w:bottom w:val="nil"/>
              <w:right w:val="nil"/>
            </w:tcBorders>
            <w:shd w:val="clear" w:color="auto" w:fill="auto"/>
            <w:noWrap/>
            <w:vAlign w:val="bottom"/>
            <w:hideMark/>
          </w:tcPr>
          <w:p w14:paraId="3B380A7C" w14:textId="77777777" w:rsidR="005014C3" w:rsidRPr="00EE4997" w:rsidRDefault="005014C3" w:rsidP="00EE4997">
            <w:pPr>
              <w:rPr>
                <w:rFonts w:ascii="Calibri" w:eastAsia="Times New Roman" w:hAnsi="Calibri" w:cs="Times New Roman"/>
                <w:color w:val="000000"/>
                <w:sz w:val="20"/>
                <w:szCs w:val="20"/>
              </w:rPr>
            </w:pPr>
          </w:p>
        </w:tc>
        <w:tc>
          <w:tcPr>
            <w:tcW w:w="1890" w:type="dxa"/>
            <w:tcBorders>
              <w:top w:val="nil"/>
              <w:left w:val="nil"/>
              <w:bottom w:val="nil"/>
              <w:right w:val="nil"/>
            </w:tcBorders>
            <w:shd w:val="clear" w:color="auto" w:fill="auto"/>
            <w:noWrap/>
            <w:vAlign w:val="bottom"/>
            <w:hideMark/>
          </w:tcPr>
          <w:p w14:paraId="6FF6F8C2" w14:textId="77777777" w:rsidR="005014C3" w:rsidRPr="00EE4997" w:rsidRDefault="005014C3" w:rsidP="00EE4997">
            <w:pPr>
              <w:rPr>
                <w:rFonts w:ascii="Times New Roman" w:eastAsia="Times New Roman" w:hAnsi="Times New Roman" w:cs="Times New Roman"/>
                <w:sz w:val="20"/>
                <w:szCs w:val="20"/>
              </w:rPr>
            </w:pPr>
          </w:p>
        </w:tc>
        <w:tc>
          <w:tcPr>
            <w:tcW w:w="1630" w:type="dxa"/>
            <w:tcBorders>
              <w:top w:val="nil"/>
              <w:left w:val="nil"/>
              <w:bottom w:val="nil"/>
              <w:right w:val="nil"/>
            </w:tcBorders>
            <w:shd w:val="clear" w:color="auto" w:fill="auto"/>
            <w:noWrap/>
            <w:vAlign w:val="bottom"/>
            <w:hideMark/>
          </w:tcPr>
          <w:p w14:paraId="70B20FC7" w14:textId="77777777" w:rsidR="005014C3" w:rsidRPr="00EE4997" w:rsidRDefault="005014C3" w:rsidP="00EE4997">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7A14354F" w14:textId="77777777" w:rsidR="005014C3" w:rsidRPr="00EE4997" w:rsidRDefault="005014C3" w:rsidP="00EE4997">
            <w:pPr>
              <w:rPr>
                <w:rFonts w:ascii="Times New Roman" w:eastAsia="Times New Roman" w:hAnsi="Times New Roman" w:cs="Times New Roman"/>
                <w:sz w:val="20"/>
                <w:szCs w:val="20"/>
              </w:rPr>
            </w:pPr>
          </w:p>
        </w:tc>
      </w:tr>
      <w:tr w:rsidR="005014C3" w:rsidRPr="00EE4997" w14:paraId="22698D33" w14:textId="77777777" w:rsidTr="00F1057E">
        <w:trPr>
          <w:trHeight w:val="300"/>
        </w:trPr>
        <w:tc>
          <w:tcPr>
            <w:tcW w:w="10490" w:type="dxa"/>
            <w:gridSpan w:val="5"/>
            <w:tcBorders>
              <w:top w:val="nil"/>
              <w:left w:val="nil"/>
              <w:bottom w:val="nil"/>
              <w:right w:val="nil"/>
            </w:tcBorders>
            <w:shd w:val="clear" w:color="auto" w:fill="auto"/>
            <w:noWrap/>
            <w:vAlign w:val="bottom"/>
            <w:hideMark/>
          </w:tcPr>
          <w:p w14:paraId="70686826" w14:textId="33AD73EA" w:rsidR="005014C3" w:rsidRPr="0083699A" w:rsidRDefault="005014C3" w:rsidP="0083699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EE4997">
              <w:rPr>
                <w:rFonts w:ascii="Calibri" w:eastAsia="Times New Roman" w:hAnsi="Calibri" w:cs="Times New Roman"/>
                <w:color w:val="000000"/>
                <w:sz w:val="20"/>
                <w:szCs w:val="20"/>
              </w:rPr>
              <w:t>: New Hampshire plans to stop taking new applications January 2013, but may operate as a reinsurance program and/or QHP</w:t>
            </w:r>
            <w:r w:rsidR="00C93090">
              <w:rPr>
                <w:rFonts w:ascii="Calibri" w:eastAsia="Times New Roman" w:hAnsi="Calibri" w:cs="Times New Roman"/>
                <w:color w:val="000000"/>
                <w:sz w:val="20"/>
                <w:szCs w:val="20"/>
              </w:rPr>
              <w:t>.</w:t>
            </w:r>
          </w:p>
        </w:tc>
        <w:tc>
          <w:tcPr>
            <w:tcW w:w="1630" w:type="dxa"/>
            <w:tcBorders>
              <w:top w:val="nil"/>
              <w:left w:val="nil"/>
              <w:bottom w:val="nil"/>
              <w:right w:val="nil"/>
            </w:tcBorders>
            <w:shd w:val="clear" w:color="auto" w:fill="auto"/>
            <w:noWrap/>
            <w:vAlign w:val="bottom"/>
            <w:hideMark/>
          </w:tcPr>
          <w:p w14:paraId="70706D1E" w14:textId="77777777" w:rsidR="005014C3" w:rsidRPr="00EE4997" w:rsidRDefault="005014C3" w:rsidP="00EE4997">
            <w:pPr>
              <w:rPr>
                <w:rFonts w:ascii="Calibri" w:eastAsia="Times New Roman" w:hAnsi="Calibri" w:cs="Times New Roman"/>
                <w:color w:val="000000"/>
                <w:sz w:val="20"/>
                <w:szCs w:val="20"/>
              </w:rPr>
            </w:pPr>
          </w:p>
        </w:tc>
        <w:tc>
          <w:tcPr>
            <w:tcW w:w="2380" w:type="dxa"/>
            <w:tcBorders>
              <w:top w:val="nil"/>
              <w:left w:val="nil"/>
              <w:bottom w:val="nil"/>
              <w:right w:val="nil"/>
            </w:tcBorders>
            <w:shd w:val="clear" w:color="auto" w:fill="auto"/>
            <w:noWrap/>
            <w:vAlign w:val="bottom"/>
            <w:hideMark/>
          </w:tcPr>
          <w:p w14:paraId="241706B8" w14:textId="77777777" w:rsidR="005014C3" w:rsidRPr="00EE4997" w:rsidRDefault="005014C3" w:rsidP="00EE4997">
            <w:pPr>
              <w:rPr>
                <w:rFonts w:ascii="Times New Roman" w:eastAsia="Times New Roman" w:hAnsi="Times New Roman" w:cs="Times New Roman"/>
                <w:sz w:val="20"/>
                <w:szCs w:val="20"/>
              </w:rPr>
            </w:pPr>
          </w:p>
        </w:tc>
      </w:tr>
      <w:tr w:rsidR="005014C3" w:rsidRPr="00EE4997" w14:paraId="22109227" w14:textId="77777777" w:rsidTr="00F1057E">
        <w:trPr>
          <w:trHeight w:val="300"/>
        </w:trPr>
        <w:tc>
          <w:tcPr>
            <w:tcW w:w="10490" w:type="dxa"/>
            <w:gridSpan w:val="5"/>
            <w:tcBorders>
              <w:top w:val="nil"/>
              <w:left w:val="nil"/>
              <w:bottom w:val="nil"/>
              <w:right w:val="nil"/>
            </w:tcBorders>
            <w:shd w:val="clear" w:color="auto" w:fill="auto"/>
            <w:noWrap/>
            <w:vAlign w:val="bottom"/>
            <w:hideMark/>
          </w:tcPr>
          <w:p w14:paraId="465A9486" w14:textId="015EFA1A" w:rsidR="005014C3" w:rsidRPr="00EE4997" w:rsidRDefault="005014C3" w:rsidP="00EE4997">
            <w:pPr>
              <w:ind w:right="-66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EE4997">
              <w:rPr>
                <w:rFonts w:ascii="Calibri" w:eastAsia="Times New Roman" w:hAnsi="Calibri" w:cs="Times New Roman"/>
                <w:color w:val="000000"/>
                <w:sz w:val="20"/>
                <w:szCs w:val="20"/>
              </w:rPr>
              <w:t>: Washington's high risk pool may close enrollment, remain open temporarily, and/or operating as reinsurance</w:t>
            </w:r>
            <w:r w:rsidR="00C93090">
              <w:rPr>
                <w:rFonts w:ascii="Calibri" w:eastAsia="Times New Roman" w:hAnsi="Calibri" w:cs="Times New Roman"/>
                <w:color w:val="000000"/>
                <w:sz w:val="20"/>
                <w:szCs w:val="20"/>
              </w:rPr>
              <w:t>.</w:t>
            </w:r>
            <w:r w:rsidRPr="00EE4997">
              <w:rPr>
                <w:rFonts w:ascii="Calibri" w:eastAsia="Times New Roman" w:hAnsi="Calibri" w:cs="Times New Roman"/>
                <w:color w:val="000000"/>
                <w:sz w:val="20"/>
                <w:szCs w:val="20"/>
              </w:rPr>
              <w:t xml:space="preserve"> </w:t>
            </w:r>
          </w:p>
        </w:tc>
        <w:tc>
          <w:tcPr>
            <w:tcW w:w="1630" w:type="dxa"/>
            <w:tcBorders>
              <w:top w:val="nil"/>
              <w:left w:val="nil"/>
              <w:bottom w:val="nil"/>
              <w:right w:val="nil"/>
            </w:tcBorders>
            <w:shd w:val="clear" w:color="auto" w:fill="auto"/>
            <w:noWrap/>
            <w:vAlign w:val="bottom"/>
            <w:hideMark/>
          </w:tcPr>
          <w:p w14:paraId="1C00BEF6" w14:textId="77777777" w:rsidR="005014C3" w:rsidRPr="00EE4997" w:rsidRDefault="005014C3" w:rsidP="00EE4997">
            <w:pPr>
              <w:rPr>
                <w:rFonts w:ascii="Calibri" w:eastAsia="Times New Roman" w:hAnsi="Calibri" w:cs="Times New Roman"/>
                <w:color w:val="000000"/>
                <w:sz w:val="20"/>
                <w:szCs w:val="20"/>
              </w:rPr>
            </w:pPr>
          </w:p>
        </w:tc>
        <w:tc>
          <w:tcPr>
            <w:tcW w:w="2380" w:type="dxa"/>
            <w:tcBorders>
              <w:top w:val="nil"/>
              <w:left w:val="nil"/>
              <w:bottom w:val="nil"/>
              <w:right w:val="nil"/>
            </w:tcBorders>
            <w:shd w:val="clear" w:color="auto" w:fill="auto"/>
            <w:noWrap/>
            <w:vAlign w:val="bottom"/>
            <w:hideMark/>
          </w:tcPr>
          <w:p w14:paraId="63AA9485" w14:textId="77777777" w:rsidR="005014C3" w:rsidRPr="00EE4997" w:rsidRDefault="005014C3" w:rsidP="00EE4997">
            <w:pPr>
              <w:rPr>
                <w:rFonts w:ascii="Times New Roman" w:eastAsia="Times New Roman" w:hAnsi="Times New Roman" w:cs="Times New Roman"/>
                <w:sz w:val="20"/>
                <w:szCs w:val="20"/>
              </w:rPr>
            </w:pPr>
          </w:p>
        </w:tc>
      </w:tr>
      <w:tr w:rsidR="005014C3" w:rsidRPr="00EE4997" w14:paraId="038100C0" w14:textId="77777777" w:rsidTr="00F1057E">
        <w:trPr>
          <w:trHeight w:val="300"/>
        </w:trPr>
        <w:tc>
          <w:tcPr>
            <w:tcW w:w="10490" w:type="dxa"/>
            <w:gridSpan w:val="5"/>
            <w:tcBorders>
              <w:top w:val="nil"/>
              <w:left w:val="nil"/>
              <w:bottom w:val="nil"/>
              <w:right w:val="nil"/>
            </w:tcBorders>
            <w:shd w:val="clear" w:color="auto" w:fill="auto"/>
            <w:noWrap/>
            <w:vAlign w:val="bottom"/>
          </w:tcPr>
          <w:p w14:paraId="70C3A1DB" w14:textId="7D75E31F" w:rsidR="005014C3" w:rsidRPr="00EE4997" w:rsidRDefault="005014C3" w:rsidP="00EE4997">
            <w:pPr>
              <w:rPr>
                <w:rFonts w:ascii="Calibri" w:eastAsia="Times New Roman" w:hAnsi="Calibri" w:cs="Times New Roman"/>
                <w:color w:val="000000"/>
                <w:sz w:val="20"/>
                <w:szCs w:val="20"/>
              </w:rPr>
            </w:pPr>
          </w:p>
        </w:tc>
        <w:tc>
          <w:tcPr>
            <w:tcW w:w="1630" w:type="dxa"/>
            <w:tcBorders>
              <w:top w:val="nil"/>
              <w:left w:val="nil"/>
              <w:bottom w:val="nil"/>
              <w:right w:val="nil"/>
            </w:tcBorders>
            <w:shd w:val="clear" w:color="auto" w:fill="auto"/>
            <w:noWrap/>
            <w:vAlign w:val="bottom"/>
            <w:hideMark/>
          </w:tcPr>
          <w:p w14:paraId="1C253789" w14:textId="77777777" w:rsidR="005014C3" w:rsidRPr="00EE4997" w:rsidRDefault="005014C3" w:rsidP="00EE4997">
            <w:pPr>
              <w:rPr>
                <w:rFonts w:ascii="Calibri" w:eastAsia="Times New Roman" w:hAnsi="Calibri" w:cs="Times New Roman"/>
                <w:color w:val="000000"/>
                <w:sz w:val="20"/>
                <w:szCs w:val="20"/>
              </w:rPr>
            </w:pPr>
          </w:p>
        </w:tc>
        <w:tc>
          <w:tcPr>
            <w:tcW w:w="2380" w:type="dxa"/>
            <w:tcBorders>
              <w:top w:val="nil"/>
              <w:left w:val="nil"/>
              <w:bottom w:val="nil"/>
              <w:right w:val="nil"/>
            </w:tcBorders>
            <w:shd w:val="clear" w:color="auto" w:fill="auto"/>
            <w:noWrap/>
            <w:vAlign w:val="bottom"/>
            <w:hideMark/>
          </w:tcPr>
          <w:p w14:paraId="5AD048AD" w14:textId="77777777" w:rsidR="005014C3" w:rsidRPr="00EE4997" w:rsidRDefault="005014C3" w:rsidP="00EE4997">
            <w:pPr>
              <w:rPr>
                <w:rFonts w:ascii="Times New Roman" w:eastAsia="Times New Roman" w:hAnsi="Times New Roman" w:cs="Times New Roman"/>
                <w:sz w:val="20"/>
                <w:szCs w:val="20"/>
              </w:rPr>
            </w:pPr>
          </w:p>
        </w:tc>
      </w:tr>
    </w:tbl>
    <w:p w14:paraId="07066872" w14:textId="77777777" w:rsidR="002E6E2A" w:rsidRDefault="002E6E2A" w:rsidP="007C7CA8">
      <w:pPr>
        <w:rPr>
          <w:rFonts w:ascii="Verdana" w:hAnsi="Verdana"/>
          <w:b/>
          <w:color w:val="000090"/>
          <w:sz w:val="20"/>
          <w:szCs w:val="20"/>
        </w:rPr>
        <w:sectPr w:rsidR="002E6E2A" w:rsidSect="00D11AB0">
          <w:endnotePr>
            <w:numFmt w:val="decimal"/>
          </w:endnotePr>
          <w:type w:val="continuous"/>
          <w:pgSz w:w="15840" w:h="12240" w:orient="landscape"/>
          <w:pgMar w:top="720" w:right="720" w:bottom="720" w:left="360" w:header="720" w:footer="360" w:gutter="0"/>
          <w:cols w:space="720"/>
          <w:titlePg/>
          <w:docGrid w:linePitch="360"/>
        </w:sectPr>
      </w:pPr>
    </w:p>
    <w:p w14:paraId="1BE194B7" w14:textId="77777777" w:rsidR="00B215D5" w:rsidRPr="006431D0" w:rsidRDefault="00B215D5" w:rsidP="00B215D5">
      <w:pPr>
        <w:rPr>
          <w:rFonts w:ascii="Verdana" w:hAnsi="Verdana"/>
          <w:b/>
          <w:color w:val="000090"/>
          <w:sz w:val="20"/>
          <w:szCs w:val="20"/>
        </w:rPr>
      </w:pPr>
      <w:r w:rsidRPr="006431D0">
        <w:rPr>
          <w:rFonts w:ascii="Verdana" w:hAnsi="Verdana"/>
          <w:b/>
          <w:color w:val="000090"/>
          <w:sz w:val="20"/>
          <w:szCs w:val="20"/>
        </w:rPr>
        <w:lastRenderedPageBreak/>
        <w:t xml:space="preserve">Resources on </w:t>
      </w:r>
      <w:r>
        <w:rPr>
          <w:rFonts w:ascii="Verdana" w:hAnsi="Verdana"/>
          <w:b/>
          <w:color w:val="000090"/>
          <w:sz w:val="20"/>
          <w:szCs w:val="20"/>
        </w:rPr>
        <w:t>State High Risk Pools and PCIPs</w:t>
      </w:r>
    </w:p>
    <w:p w14:paraId="3812E5E8" w14:textId="77777777" w:rsidR="00B215D5" w:rsidRDefault="00B215D5" w:rsidP="00B215D5">
      <w:pPr>
        <w:rPr>
          <w:rFonts w:ascii="Verdana" w:hAnsi="Verdana"/>
          <w:sz w:val="20"/>
          <w:szCs w:val="20"/>
        </w:rPr>
      </w:pPr>
    </w:p>
    <w:p w14:paraId="480ABC50" w14:textId="77777777" w:rsidR="00B215D5" w:rsidRDefault="00570BE1" w:rsidP="00B215D5">
      <w:pPr>
        <w:pStyle w:val="ListParagraph"/>
        <w:numPr>
          <w:ilvl w:val="0"/>
          <w:numId w:val="4"/>
        </w:numPr>
        <w:rPr>
          <w:rFonts w:ascii="Verdana" w:hAnsi="Verdana"/>
          <w:sz w:val="20"/>
          <w:szCs w:val="20"/>
        </w:rPr>
      </w:pPr>
      <w:hyperlink r:id="rId16" w:history="1">
        <w:r w:rsidR="00B215D5" w:rsidRPr="001A6BDF">
          <w:rPr>
            <w:rStyle w:val="Hyperlink"/>
            <w:rFonts w:ascii="Verdana" w:hAnsi="Verdana"/>
            <w:sz w:val="20"/>
            <w:szCs w:val="20"/>
          </w:rPr>
          <w:t>The National Association of State Comprehensive Health Insurance Plans (NASCHIP</w:t>
        </w:r>
      </w:hyperlink>
      <w:r w:rsidR="00B215D5">
        <w:rPr>
          <w:rFonts w:ascii="Verdana" w:hAnsi="Verdana"/>
          <w:sz w:val="20"/>
          <w:szCs w:val="20"/>
        </w:rPr>
        <w:t>) is the professional organization for administrators of state high risk pools. The NASCHIP website includes information on existing state high risk pools, as well as resources on options for state high risk pools during ACA implementation.</w:t>
      </w:r>
    </w:p>
    <w:p w14:paraId="5EE72A65" w14:textId="77777777" w:rsidR="00B215D5" w:rsidRPr="00592750" w:rsidRDefault="00B215D5" w:rsidP="00B215D5">
      <w:pPr>
        <w:pStyle w:val="ListParagraph"/>
        <w:rPr>
          <w:rFonts w:ascii="Verdana" w:hAnsi="Verdana"/>
          <w:sz w:val="20"/>
          <w:szCs w:val="20"/>
        </w:rPr>
      </w:pPr>
    </w:p>
    <w:p w14:paraId="65523CA8" w14:textId="77777777" w:rsidR="00B215D5" w:rsidRDefault="00B215D5" w:rsidP="00B215D5">
      <w:pPr>
        <w:rPr>
          <w:rFonts w:ascii="Verdana" w:hAnsi="Verdana"/>
          <w:b/>
          <w:color w:val="000090"/>
          <w:sz w:val="20"/>
          <w:szCs w:val="20"/>
        </w:rPr>
      </w:pPr>
    </w:p>
    <w:p w14:paraId="1EEDDC50" w14:textId="77777777" w:rsidR="00B215D5" w:rsidRDefault="00B215D5" w:rsidP="00B215D5">
      <w:pPr>
        <w:rPr>
          <w:rFonts w:ascii="Verdana" w:hAnsi="Verdana"/>
          <w:b/>
          <w:color w:val="000090"/>
          <w:sz w:val="20"/>
          <w:szCs w:val="20"/>
        </w:rPr>
      </w:pPr>
      <w:r>
        <w:rPr>
          <w:rFonts w:ascii="Verdana" w:hAnsi="Verdana"/>
          <w:b/>
          <w:color w:val="000090"/>
          <w:sz w:val="20"/>
          <w:szCs w:val="20"/>
        </w:rPr>
        <w:t>NASTAD Resources on Health Reform</w:t>
      </w:r>
    </w:p>
    <w:p w14:paraId="2629B664" w14:textId="77777777" w:rsidR="00B215D5" w:rsidRDefault="00B215D5" w:rsidP="00B215D5">
      <w:pPr>
        <w:rPr>
          <w:rFonts w:ascii="Verdana" w:hAnsi="Verdana"/>
          <w:b/>
          <w:color w:val="000090"/>
          <w:sz w:val="20"/>
          <w:szCs w:val="20"/>
        </w:rPr>
      </w:pPr>
    </w:p>
    <w:p w14:paraId="2946DF30" w14:textId="77777777" w:rsidR="00B215D5" w:rsidRDefault="00570BE1" w:rsidP="00B215D5">
      <w:pPr>
        <w:pStyle w:val="ListParagraph"/>
        <w:numPr>
          <w:ilvl w:val="0"/>
          <w:numId w:val="5"/>
        </w:numPr>
        <w:rPr>
          <w:rFonts w:ascii="Verdana" w:hAnsi="Verdana"/>
          <w:sz w:val="20"/>
          <w:szCs w:val="20"/>
        </w:rPr>
      </w:pPr>
      <w:hyperlink r:id="rId17" w:history="1">
        <w:r w:rsidR="00B215D5">
          <w:rPr>
            <w:rStyle w:val="Hyperlink"/>
            <w:rFonts w:ascii="Verdana" w:hAnsi="Verdana"/>
            <w:sz w:val="20"/>
            <w:szCs w:val="20"/>
          </w:rPr>
          <w:t>NASTAD Health Reform Website</w:t>
        </w:r>
      </w:hyperlink>
      <w:r w:rsidR="00B215D5">
        <w:rPr>
          <w:rFonts w:ascii="Verdana" w:hAnsi="Verdana"/>
          <w:sz w:val="20"/>
          <w:szCs w:val="20"/>
        </w:rPr>
        <w:t xml:space="preserve"> houses NASTAD’s presentations, issue briefs, fact sheets, and other resources on health reform.</w:t>
      </w:r>
    </w:p>
    <w:p w14:paraId="1EED0B82" w14:textId="77777777" w:rsidR="00B215D5" w:rsidRDefault="00B215D5" w:rsidP="00B215D5">
      <w:pPr>
        <w:pStyle w:val="ListParagraph"/>
        <w:rPr>
          <w:rFonts w:ascii="Verdana" w:hAnsi="Verdana"/>
          <w:sz w:val="20"/>
          <w:szCs w:val="20"/>
        </w:rPr>
      </w:pPr>
    </w:p>
    <w:p w14:paraId="06DF3041" w14:textId="77777777" w:rsidR="0028754E" w:rsidRPr="002E6E2A" w:rsidRDefault="00570BE1" w:rsidP="00D11AB0">
      <w:pPr>
        <w:pStyle w:val="ListParagraph"/>
        <w:numPr>
          <w:ilvl w:val="0"/>
          <w:numId w:val="5"/>
        </w:numPr>
        <w:rPr>
          <w:rFonts w:ascii="Verdana" w:hAnsi="Verdana"/>
          <w:b/>
          <w:color w:val="000090"/>
          <w:sz w:val="20"/>
          <w:szCs w:val="20"/>
        </w:rPr>
      </w:pPr>
      <w:hyperlink r:id="rId18" w:history="1">
        <w:r w:rsidR="00B215D5" w:rsidRPr="002E6E2A">
          <w:rPr>
            <w:rStyle w:val="Hyperlink"/>
            <w:rFonts w:ascii="Verdana" w:hAnsi="Verdana"/>
            <w:sz w:val="20"/>
            <w:szCs w:val="20"/>
          </w:rPr>
          <w:t>NASTAD Blog</w:t>
        </w:r>
      </w:hyperlink>
      <w:r w:rsidR="00B215D5" w:rsidRPr="002E6E2A">
        <w:rPr>
          <w:rFonts w:ascii="Verdana" w:hAnsi="Verdana"/>
          <w:sz w:val="20"/>
          <w:szCs w:val="20"/>
        </w:rPr>
        <w:t xml:space="preserve"> provides timely updates and breaking news with regard to federal and state health reform implementation.</w:t>
      </w:r>
    </w:p>
    <w:sectPr w:rsidR="0028754E" w:rsidRPr="002E6E2A" w:rsidSect="00D11AB0">
      <w:endnotePr>
        <w:numFmt w:val="decimal"/>
      </w:endnotePr>
      <w:pgSz w:w="12240" w:h="15840"/>
      <w:pgMar w:top="1440" w:right="1080" w:bottom="1440" w:left="108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F1AA9" w14:textId="77777777" w:rsidR="000E67C3" w:rsidRDefault="000E67C3" w:rsidP="00D96438">
      <w:r>
        <w:separator/>
      </w:r>
    </w:p>
  </w:endnote>
  <w:endnote w:type="continuationSeparator" w:id="0">
    <w:p w14:paraId="5BAAB6AE" w14:textId="77777777" w:rsidR="000E67C3" w:rsidRDefault="000E67C3" w:rsidP="00D96438">
      <w:r>
        <w:continuationSeparator/>
      </w:r>
    </w:p>
  </w:endnote>
  <w:endnote w:id="1">
    <w:p w14:paraId="5F284077"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About Pools, </w:t>
      </w:r>
      <w:r w:rsidRPr="00264F2D">
        <w:rPr>
          <w:sz w:val="20"/>
          <w:szCs w:val="20"/>
        </w:rPr>
        <w:t xml:space="preserve">National Association of State Comprehensive Insurance Plans, </w:t>
      </w:r>
      <w:r w:rsidRPr="00264F2D">
        <w:rPr>
          <w:i/>
          <w:sz w:val="20"/>
          <w:szCs w:val="20"/>
        </w:rPr>
        <w:t>available at</w:t>
      </w:r>
      <w:r w:rsidRPr="00264F2D">
        <w:rPr>
          <w:sz w:val="20"/>
          <w:szCs w:val="20"/>
        </w:rPr>
        <w:t xml:space="preserve"> </w:t>
      </w:r>
      <w:hyperlink r:id="rId1" w:history="1">
        <w:r w:rsidRPr="00264F2D">
          <w:rPr>
            <w:rStyle w:val="Hyperlink"/>
            <w:sz w:val="20"/>
            <w:szCs w:val="20"/>
          </w:rPr>
          <w:t>http://naschip.org/portal/index.php?option=com_content&amp;view=article&amp;id=54:about-pools</w:t>
        </w:r>
      </w:hyperlink>
      <w:r w:rsidRPr="00264F2D">
        <w:rPr>
          <w:sz w:val="20"/>
          <w:szCs w:val="20"/>
        </w:rPr>
        <w:t xml:space="preserve"> (hereafter “About Pools”).</w:t>
      </w:r>
    </w:p>
  </w:endnote>
  <w:endnote w:id="2">
    <w:p w14:paraId="263DFA63" w14:textId="34D97D68"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42 USC § 18001(a)</w:t>
      </w:r>
      <w:r w:rsidR="00264F2D" w:rsidRPr="00264F2D">
        <w:rPr>
          <w:sz w:val="20"/>
          <w:szCs w:val="20"/>
        </w:rPr>
        <w:t>.</w:t>
      </w:r>
    </w:p>
  </w:endnote>
  <w:endnote w:id="3">
    <w:p w14:paraId="32BB63AF"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42 USC § 1396(a)(10)(A)(i)(VIII).</w:t>
      </w:r>
    </w:p>
  </w:endnote>
  <w:endnote w:id="4">
    <w:p w14:paraId="59EC017F"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Amy Killelea and Britten Pund, </w:t>
      </w:r>
      <w:r w:rsidRPr="00264F2D">
        <w:rPr>
          <w:i/>
          <w:sz w:val="20"/>
          <w:szCs w:val="20"/>
        </w:rPr>
        <w:t>National ADAP Monitoring Project Annual Report: Module 2 April 2013</w:t>
      </w:r>
      <w:r w:rsidRPr="00264F2D">
        <w:rPr>
          <w:sz w:val="20"/>
          <w:szCs w:val="20"/>
        </w:rPr>
        <w:t xml:space="preserve">, </w:t>
      </w:r>
      <w:r w:rsidRPr="00264F2D">
        <w:rPr>
          <w:i/>
          <w:sz w:val="20"/>
          <w:szCs w:val="20"/>
        </w:rPr>
        <w:t>available at</w:t>
      </w:r>
      <w:r w:rsidRPr="00264F2D">
        <w:rPr>
          <w:sz w:val="20"/>
          <w:szCs w:val="20"/>
        </w:rPr>
        <w:t xml:space="preserve"> </w:t>
      </w:r>
      <w:hyperlink r:id="rId2" w:history="1">
        <w:r w:rsidRPr="00264F2D">
          <w:rPr>
            <w:rStyle w:val="Hyperlink"/>
            <w:sz w:val="20"/>
            <w:szCs w:val="20"/>
          </w:rPr>
          <w:t>http://nastad.org/docs/NASTAD-National-ADAP-Monitoring-Project-Report-Module-2-2013.pdf</w:t>
        </w:r>
      </w:hyperlink>
      <w:r w:rsidRPr="00264F2D">
        <w:rPr>
          <w:rStyle w:val="Hyperlink"/>
          <w:sz w:val="20"/>
          <w:szCs w:val="20"/>
        </w:rPr>
        <w:t xml:space="preserve"> (hereafter “National ADAP Monitoring Project Annual Report”).</w:t>
      </w:r>
    </w:p>
  </w:endnote>
  <w:endnote w:id="5">
    <w:p w14:paraId="4833C31C" w14:textId="30093F38"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proofErr w:type="gramStart"/>
      <w:r w:rsidR="00264F2D">
        <w:rPr>
          <w:rStyle w:val="Hyperlink"/>
          <w:i/>
          <w:color w:val="auto"/>
          <w:sz w:val="20"/>
          <w:szCs w:val="20"/>
          <w:u w:val="none"/>
        </w:rPr>
        <w:t>Id.</w:t>
      </w:r>
      <w:r w:rsidRPr="00264F2D">
        <w:rPr>
          <w:rStyle w:val="Hyperlink"/>
          <w:color w:val="auto"/>
          <w:sz w:val="20"/>
          <w:szCs w:val="20"/>
          <w:u w:val="none"/>
        </w:rPr>
        <w:t xml:space="preserve"> at 9, 25 and 26 (Table 6).</w:t>
      </w:r>
      <w:proofErr w:type="gramEnd"/>
    </w:p>
  </w:endnote>
  <w:endnote w:id="6">
    <w:p w14:paraId="04D0F78C" w14:textId="562180F6" w:rsidR="00F1057E" w:rsidRPr="00264F2D" w:rsidRDefault="00F1057E" w:rsidP="00264F2D">
      <w:pPr>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See About Pools, supra </w:t>
      </w:r>
      <w:r w:rsidRPr="00264F2D">
        <w:rPr>
          <w:sz w:val="20"/>
          <w:szCs w:val="20"/>
        </w:rPr>
        <w:t xml:space="preserve">note 1. Generally speaking, high risk pools allow enrollment for one or more of three groups: </w:t>
      </w:r>
      <w:r w:rsidR="00264F2D" w:rsidRPr="00264F2D">
        <w:rPr>
          <w:sz w:val="20"/>
          <w:szCs w:val="20"/>
        </w:rPr>
        <w:t xml:space="preserve">1) </w:t>
      </w:r>
      <w:r w:rsidRPr="00264F2D">
        <w:rPr>
          <w:sz w:val="20"/>
          <w:szCs w:val="20"/>
        </w:rPr>
        <w:t xml:space="preserve">people who had insurance previously through an employer (i.e., eligible for continuing coverage under the Health Insurance Portability and Accountability Act (HIPAA), HIPAA provides for continuing coverage of patients who had health insurance for individuals who lost insurance coverage for reasons other than fraud or non-payment of premiums; generally, the individual must have had insurance for at least 18 months with a gap of no more than 63 days. </w:t>
      </w:r>
      <w:r w:rsidRPr="00264F2D">
        <w:rPr>
          <w:i/>
          <w:sz w:val="20"/>
          <w:szCs w:val="20"/>
        </w:rPr>
        <w:t xml:space="preserve">See </w:t>
      </w:r>
      <w:r w:rsidRPr="00264F2D">
        <w:rPr>
          <w:smallCaps/>
          <w:sz w:val="20"/>
          <w:szCs w:val="20"/>
        </w:rPr>
        <w:t>Centers for Medicare and Medicaid Services,</w:t>
      </w:r>
      <w:r w:rsidRPr="00264F2D">
        <w:rPr>
          <w:sz w:val="20"/>
          <w:szCs w:val="20"/>
        </w:rPr>
        <w:t xml:space="preserve"> </w:t>
      </w:r>
      <w:r w:rsidRPr="00264F2D">
        <w:rPr>
          <w:i/>
          <w:sz w:val="20"/>
          <w:szCs w:val="20"/>
        </w:rPr>
        <w:t>HIPAA Eligibility Criteria for Individual Coverage</w:t>
      </w:r>
      <w:r w:rsidRPr="00264F2D">
        <w:rPr>
          <w:sz w:val="20"/>
          <w:szCs w:val="20"/>
        </w:rPr>
        <w:t xml:space="preserve">, </w:t>
      </w:r>
      <w:r w:rsidRPr="00264F2D">
        <w:rPr>
          <w:i/>
          <w:sz w:val="20"/>
          <w:szCs w:val="20"/>
        </w:rPr>
        <w:t xml:space="preserve">available at </w:t>
      </w:r>
      <w:hyperlink r:id="rId3" w:history="1">
        <w:r w:rsidRPr="00264F2D">
          <w:rPr>
            <w:rStyle w:val="Hyperlink"/>
            <w:sz w:val="20"/>
            <w:szCs w:val="20"/>
          </w:rPr>
          <w:t>http://www.cms.gov/Regulations-and-Guidance/Health-Insurance-Reform/HealthInsReformforConsume/downloads/HIPAA_Eligibility_Criteria.pdf</w:t>
        </w:r>
      </w:hyperlink>
      <w:r w:rsidR="00264F2D" w:rsidRPr="00264F2D">
        <w:rPr>
          <w:rStyle w:val="Hyperlink"/>
          <w:sz w:val="20"/>
          <w:szCs w:val="20"/>
        </w:rPr>
        <w:t>)</w:t>
      </w:r>
      <w:r w:rsidR="00264F2D" w:rsidRPr="00264F2D">
        <w:rPr>
          <w:rStyle w:val="Hyperlink"/>
          <w:sz w:val="20"/>
          <w:szCs w:val="20"/>
          <w:u w:val="none"/>
        </w:rPr>
        <w:t xml:space="preserve">; </w:t>
      </w:r>
      <w:r w:rsidR="00264F2D" w:rsidRPr="00264F2D">
        <w:rPr>
          <w:rStyle w:val="Hyperlink"/>
          <w:color w:val="auto"/>
          <w:sz w:val="20"/>
          <w:szCs w:val="20"/>
          <w:u w:val="none"/>
        </w:rPr>
        <w:t xml:space="preserve">2) </w:t>
      </w:r>
      <w:r w:rsidRPr="00264F2D">
        <w:rPr>
          <w:sz w:val="20"/>
          <w:szCs w:val="20"/>
        </w:rPr>
        <w:t xml:space="preserve">people who qualify for the federal Health Care Tax Credit (HCTC) program, which provides premium support for certain groups of workers or are receiving payments from the federal government due to termination of a pension plan. </w:t>
      </w:r>
      <w:r w:rsidRPr="00264F2D">
        <w:rPr>
          <w:i/>
          <w:sz w:val="20"/>
          <w:szCs w:val="20"/>
        </w:rPr>
        <w:t>See HCTC: Eligibility Requirements and How to Receive the HCTC</w:t>
      </w:r>
      <w:r w:rsidRPr="00264F2D">
        <w:rPr>
          <w:sz w:val="20"/>
          <w:szCs w:val="20"/>
        </w:rPr>
        <w:t xml:space="preserve">, Internal Revenue Service, available at </w:t>
      </w:r>
      <w:hyperlink r:id="rId4" w:history="1">
        <w:r w:rsidR="00264F2D" w:rsidRPr="007357EF">
          <w:rPr>
            <w:rStyle w:val="Hyperlink"/>
            <w:sz w:val="20"/>
            <w:szCs w:val="20"/>
          </w:rPr>
          <w:t>http://www.irs.gov/Individuals/HCTC:-Eligibility-Requirements-and-How-to-Receive-the-HCTC-</w:t>
        </w:r>
      </w:hyperlink>
      <w:r w:rsidRPr="00264F2D">
        <w:rPr>
          <w:sz w:val="20"/>
          <w:szCs w:val="20"/>
        </w:rPr>
        <w:t>;</w:t>
      </w:r>
      <w:r w:rsidR="00264F2D">
        <w:rPr>
          <w:sz w:val="20"/>
          <w:szCs w:val="20"/>
        </w:rPr>
        <w:t xml:space="preserve"> 3) </w:t>
      </w:r>
      <w:r w:rsidRPr="00264F2D">
        <w:rPr>
          <w:sz w:val="20"/>
          <w:szCs w:val="20"/>
        </w:rPr>
        <w:t xml:space="preserve">and/or people who can prove they are uninsurable in the individual market (either by showing they have been denied coverage or showing they have a condition that the state has deemed to make them presumptively uninsurable). </w:t>
      </w:r>
      <w:r w:rsidRPr="00264F2D">
        <w:rPr>
          <w:i/>
          <w:sz w:val="20"/>
          <w:szCs w:val="20"/>
        </w:rPr>
        <w:t>See</w:t>
      </w:r>
      <w:r w:rsidRPr="00264F2D">
        <w:rPr>
          <w:sz w:val="20"/>
          <w:szCs w:val="20"/>
        </w:rPr>
        <w:t xml:space="preserve"> </w:t>
      </w:r>
      <w:r w:rsidR="00264F2D">
        <w:rPr>
          <w:i/>
          <w:sz w:val="20"/>
          <w:szCs w:val="20"/>
        </w:rPr>
        <w:t xml:space="preserve">About Pools, supra </w:t>
      </w:r>
      <w:r w:rsidR="00264F2D">
        <w:rPr>
          <w:sz w:val="20"/>
          <w:szCs w:val="20"/>
        </w:rPr>
        <w:t>note 1.</w:t>
      </w:r>
    </w:p>
  </w:endnote>
  <w:endnote w:id="7">
    <w:p w14:paraId="5FB55853"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About Pools, supra</w:t>
      </w:r>
      <w:r w:rsidRPr="00264F2D">
        <w:rPr>
          <w:sz w:val="20"/>
          <w:szCs w:val="20"/>
        </w:rPr>
        <w:t xml:space="preserve"> note 1.</w:t>
      </w:r>
    </w:p>
  </w:endnote>
  <w:endnote w:id="8">
    <w:p w14:paraId="4B0A5745"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Id.</w:t>
      </w:r>
    </w:p>
  </w:endnote>
  <w:endnote w:id="9">
    <w:p w14:paraId="66C2DA37" w14:textId="77777777" w:rsidR="00F1057E" w:rsidRPr="00264F2D" w:rsidRDefault="00F1057E" w:rsidP="00264F2D">
      <w:pPr>
        <w:pStyle w:val="EndnoteText"/>
        <w:spacing w:after="120"/>
        <w:ind w:left="180" w:hanging="180"/>
        <w:rPr>
          <w:i/>
          <w:sz w:val="20"/>
          <w:szCs w:val="20"/>
        </w:rPr>
      </w:pPr>
      <w:r w:rsidRPr="00264F2D">
        <w:rPr>
          <w:rStyle w:val="EndnoteReference"/>
          <w:sz w:val="20"/>
          <w:szCs w:val="20"/>
        </w:rPr>
        <w:endnoteRef/>
      </w:r>
      <w:r w:rsidRPr="00264F2D">
        <w:rPr>
          <w:sz w:val="20"/>
          <w:szCs w:val="20"/>
        </w:rPr>
        <w:t xml:space="preserve"> </w:t>
      </w:r>
      <w:r w:rsidRPr="00264F2D">
        <w:rPr>
          <w:i/>
          <w:sz w:val="20"/>
          <w:szCs w:val="20"/>
        </w:rPr>
        <w:t>Id.</w:t>
      </w:r>
    </w:p>
  </w:endnote>
  <w:endnote w:id="10">
    <w:p w14:paraId="5C3A5C40" w14:textId="77777777" w:rsidR="00F1057E" w:rsidRPr="00264F2D" w:rsidRDefault="00F1057E" w:rsidP="00264F2D">
      <w:pPr>
        <w:pStyle w:val="EndnoteText"/>
        <w:spacing w:after="120"/>
        <w:ind w:left="180" w:hanging="180"/>
        <w:rPr>
          <w:i/>
          <w:sz w:val="20"/>
          <w:szCs w:val="20"/>
        </w:rPr>
      </w:pPr>
      <w:r w:rsidRPr="00264F2D">
        <w:rPr>
          <w:rStyle w:val="EndnoteReference"/>
          <w:sz w:val="20"/>
          <w:szCs w:val="20"/>
        </w:rPr>
        <w:endnoteRef/>
      </w:r>
      <w:r w:rsidRPr="00264F2D">
        <w:rPr>
          <w:sz w:val="20"/>
          <w:szCs w:val="20"/>
        </w:rPr>
        <w:t xml:space="preserve"> </w:t>
      </w:r>
      <w:r w:rsidRPr="00264F2D">
        <w:rPr>
          <w:i/>
          <w:sz w:val="20"/>
          <w:szCs w:val="20"/>
        </w:rPr>
        <w:t>Id.</w:t>
      </w:r>
    </w:p>
  </w:endnote>
  <w:endnote w:id="11">
    <w:p w14:paraId="45F1EF26"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Jean Hall and Janice Moore, </w:t>
      </w:r>
      <w:r w:rsidRPr="00264F2D">
        <w:rPr>
          <w:i/>
          <w:sz w:val="20"/>
          <w:szCs w:val="20"/>
        </w:rPr>
        <w:t xml:space="preserve">Realizing Health Reform’s Potential: The Affordable Care Act’s Pre-existing Condition Insurance Plan: Enrollment, Costs, Lessons for Reform, </w:t>
      </w:r>
      <w:r w:rsidRPr="00264F2D">
        <w:rPr>
          <w:sz w:val="20"/>
          <w:szCs w:val="20"/>
        </w:rPr>
        <w:t xml:space="preserve">4, </w:t>
      </w:r>
      <w:r w:rsidRPr="00264F2D">
        <w:rPr>
          <w:i/>
          <w:sz w:val="20"/>
          <w:szCs w:val="20"/>
        </w:rPr>
        <w:t>available at</w:t>
      </w:r>
      <w:r w:rsidRPr="00264F2D">
        <w:rPr>
          <w:sz w:val="20"/>
          <w:szCs w:val="20"/>
        </w:rPr>
        <w:t xml:space="preserve"> </w:t>
      </w:r>
      <w:hyperlink r:id="rId5" w:history="1">
        <w:r w:rsidRPr="00264F2D">
          <w:rPr>
            <w:rStyle w:val="Hyperlink"/>
            <w:sz w:val="20"/>
            <w:szCs w:val="20"/>
          </w:rPr>
          <w:t>http://www.commonwealthfund.org/~/media/Files/Publications/Issue%20Brief/2012/Sep/1627_Hall_PCIP_enrollment_costs_lessons_rb.pdf</w:t>
        </w:r>
      </w:hyperlink>
      <w:r w:rsidRPr="00264F2D">
        <w:rPr>
          <w:sz w:val="20"/>
          <w:szCs w:val="20"/>
        </w:rPr>
        <w:t xml:space="preserve">. </w:t>
      </w:r>
    </w:p>
  </w:endnote>
  <w:endnote w:id="12">
    <w:p w14:paraId="6D704DDB" w14:textId="7931BAE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rStyle w:val="Hyperlink"/>
          <w:i/>
          <w:color w:val="auto"/>
          <w:sz w:val="20"/>
          <w:szCs w:val="20"/>
          <w:u w:val="none"/>
        </w:rPr>
        <w:t>National ADAP Monitoring Project Annual Report</w:t>
      </w:r>
      <w:r w:rsidRPr="00264F2D">
        <w:rPr>
          <w:rStyle w:val="Hyperlink"/>
          <w:color w:val="auto"/>
          <w:sz w:val="20"/>
          <w:szCs w:val="20"/>
          <w:u w:val="none"/>
        </w:rPr>
        <w:t xml:space="preserve">, </w:t>
      </w:r>
      <w:r w:rsidRPr="00264F2D">
        <w:rPr>
          <w:rStyle w:val="Hyperlink"/>
          <w:i/>
          <w:color w:val="auto"/>
          <w:sz w:val="20"/>
          <w:szCs w:val="20"/>
          <w:u w:val="none"/>
        </w:rPr>
        <w:t>supra</w:t>
      </w:r>
      <w:r w:rsidRPr="00264F2D">
        <w:rPr>
          <w:rStyle w:val="Hyperlink"/>
          <w:color w:val="auto"/>
          <w:sz w:val="20"/>
          <w:szCs w:val="20"/>
          <w:u w:val="none"/>
        </w:rPr>
        <w:t xml:space="preserve"> note 4, at 9 and 25 (Table 6).</w:t>
      </w:r>
    </w:p>
  </w:endnote>
  <w:endnote w:id="13">
    <w:p w14:paraId="0867CE96" w14:textId="240CE206" w:rsidR="00F1057E" w:rsidRPr="00264F2D" w:rsidRDefault="00F1057E" w:rsidP="00264F2D">
      <w:pPr>
        <w:pStyle w:val="EndnoteText"/>
        <w:spacing w:after="120"/>
        <w:ind w:left="180" w:hanging="180"/>
        <w:rPr>
          <w:i/>
          <w:sz w:val="20"/>
          <w:szCs w:val="20"/>
        </w:rPr>
      </w:pPr>
      <w:r w:rsidRPr="00264F2D">
        <w:rPr>
          <w:rStyle w:val="EndnoteReference"/>
          <w:sz w:val="20"/>
          <w:szCs w:val="20"/>
        </w:rPr>
        <w:endnoteRef/>
      </w:r>
      <w:r w:rsidRPr="00264F2D">
        <w:rPr>
          <w:sz w:val="20"/>
          <w:szCs w:val="20"/>
        </w:rPr>
        <w:t xml:space="preserve"> </w:t>
      </w:r>
      <w:r w:rsidR="00264F2D">
        <w:rPr>
          <w:i/>
          <w:sz w:val="20"/>
          <w:szCs w:val="20"/>
        </w:rPr>
        <w:t>Id.</w:t>
      </w:r>
    </w:p>
  </w:endnote>
  <w:endnote w:id="14">
    <w:p w14:paraId="116D0612" w14:textId="0549E006"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The Transitional Reinsurance Program,</w:t>
      </w:r>
      <w:r w:rsidRPr="00264F2D">
        <w:rPr>
          <w:sz w:val="20"/>
          <w:szCs w:val="20"/>
        </w:rPr>
        <w:t xml:space="preserve"> Center for Consumer Information and Insurance Oversight, </w:t>
      </w:r>
      <w:r w:rsidRPr="00264F2D">
        <w:rPr>
          <w:i/>
          <w:sz w:val="20"/>
          <w:szCs w:val="20"/>
        </w:rPr>
        <w:t>available at</w:t>
      </w:r>
      <w:r w:rsidRPr="00264F2D">
        <w:rPr>
          <w:sz w:val="20"/>
          <w:szCs w:val="20"/>
        </w:rPr>
        <w:t xml:space="preserve"> </w:t>
      </w:r>
      <w:hyperlink r:id="rId6" w:history="1">
        <w:r w:rsidR="00264F2D" w:rsidRPr="007357EF">
          <w:rPr>
            <w:rStyle w:val="Hyperlink"/>
            <w:rFonts w:cs="Arial"/>
            <w:sz w:val="20"/>
            <w:szCs w:val="20"/>
            <w:lang w:val="en"/>
          </w:rPr>
          <w:t>http://cciio.cms.gov/resources/files/hie-reinsurance-fact-sheet-handout.pdf</w:t>
        </w:r>
      </w:hyperlink>
      <w:r w:rsidR="00264F2D">
        <w:rPr>
          <w:rStyle w:val="HTMLCite"/>
          <w:rFonts w:cs="Arial"/>
          <w:color w:val="1F497D" w:themeColor="text2"/>
          <w:sz w:val="20"/>
          <w:szCs w:val="20"/>
          <w:lang w:val="en"/>
        </w:rPr>
        <w:t xml:space="preserve">. </w:t>
      </w:r>
    </w:p>
  </w:endnote>
  <w:endnote w:id="15">
    <w:p w14:paraId="1E8E8F26"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42 USC § 18001(a)</w:t>
      </w:r>
    </w:p>
  </w:endnote>
  <w:endnote w:id="16">
    <w:p w14:paraId="5E165788" w14:textId="0FF01F22"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Covering People with Pre-existing Conditions: Report on the Implementation and Operation of the Pre-existing Condition Insurance Plan Program</w:t>
      </w:r>
      <w:r w:rsidRPr="00264F2D">
        <w:rPr>
          <w:sz w:val="20"/>
          <w:szCs w:val="20"/>
        </w:rPr>
        <w:t xml:space="preserve">, Center for Consumer Information and Insurance Oversight, 3, </w:t>
      </w:r>
      <w:r w:rsidRPr="00264F2D">
        <w:rPr>
          <w:i/>
          <w:sz w:val="20"/>
          <w:szCs w:val="20"/>
        </w:rPr>
        <w:t>available at</w:t>
      </w:r>
      <w:r w:rsidRPr="00264F2D">
        <w:rPr>
          <w:sz w:val="20"/>
          <w:szCs w:val="20"/>
        </w:rPr>
        <w:t xml:space="preserve"> </w:t>
      </w:r>
      <w:hyperlink r:id="rId7" w:history="1">
        <w:r w:rsidRPr="00264F2D">
          <w:rPr>
            <w:rStyle w:val="Hyperlink"/>
            <w:sz w:val="20"/>
            <w:szCs w:val="20"/>
          </w:rPr>
          <w:t>http://cciio.cms.gov/resources/files/Files2/02242012/pcip-report.pdf</w:t>
        </w:r>
      </w:hyperlink>
      <w:r w:rsidRPr="00264F2D">
        <w:rPr>
          <w:sz w:val="20"/>
          <w:szCs w:val="20"/>
        </w:rPr>
        <w:t xml:space="preserve">  (hereafter “CCIIO Report”). </w:t>
      </w:r>
      <w:r w:rsidRPr="00264F2D">
        <w:rPr>
          <w:i/>
          <w:sz w:val="20"/>
          <w:szCs w:val="20"/>
        </w:rPr>
        <w:t xml:space="preserve">. </w:t>
      </w:r>
    </w:p>
  </w:endnote>
  <w:endnote w:id="17">
    <w:p w14:paraId="1A28D520"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Id.</w:t>
      </w:r>
    </w:p>
  </w:endnote>
  <w:endnote w:id="18">
    <w:p w14:paraId="2B84E280" w14:textId="7FCC1136"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National ADAP Monitoring Project Annual Report, supra </w:t>
      </w:r>
      <w:r w:rsidRPr="00264F2D">
        <w:rPr>
          <w:sz w:val="20"/>
          <w:szCs w:val="20"/>
        </w:rPr>
        <w:t xml:space="preserve">note 4, at 9 and 24 (Table 5). </w:t>
      </w:r>
    </w:p>
  </w:endnote>
  <w:endnote w:id="19">
    <w:p w14:paraId="23F212FB" w14:textId="67C04C48"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CCIOO Report, </w:t>
      </w:r>
      <w:r w:rsidRPr="00264F2D">
        <w:rPr>
          <w:i/>
          <w:sz w:val="20"/>
          <w:szCs w:val="20"/>
        </w:rPr>
        <w:t xml:space="preserve">supra </w:t>
      </w:r>
      <w:r w:rsidRPr="00264F2D">
        <w:rPr>
          <w:sz w:val="20"/>
          <w:szCs w:val="20"/>
        </w:rPr>
        <w:t>note 1</w:t>
      </w:r>
      <w:r w:rsidR="00264F2D">
        <w:rPr>
          <w:sz w:val="20"/>
          <w:szCs w:val="20"/>
        </w:rPr>
        <w:t>6</w:t>
      </w:r>
      <w:r w:rsidRPr="00264F2D">
        <w:rPr>
          <w:sz w:val="20"/>
          <w:szCs w:val="20"/>
        </w:rPr>
        <w:t xml:space="preserve">, at 15. </w:t>
      </w:r>
    </w:p>
  </w:endnote>
  <w:endnote w:id="20">
    <w:p w14:paraId="18CEEFCB"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Id. </w:t>
      </w:r>
      <w:r w:rsidRPr="00264F2D">
        <w:rPr>
          <w:sz w:val="20"/>
          <w:szCs w:val="20"/>
        </w:rPr>
        <w:t>at 11, 13.</w:t>
      </w:r>
    </w:p>
  </w:endnote>
  <w:endnote w:id="21">
    <w:p w14:paraId="55D1F298"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Realizing Health Reform’s Potential: The Affordable Care Act’s Pre-existing Condition Insurance Plan: Enrollment, Costs, Lessons for Reform, </w:t>
      </w:r>
      <w:r w:rsidRPr="00264F2D">
        <w:rPr>
          <w:sz w:val="20"/>
          <w:szCs w:val="20"/>
        </w:rPr>
        <w:t xml:space="preserve">5, </w:t>
      </w:r>
      <w:r w:rsidRPr="00264F2D">
        <w:rPr>
          <w:i/>
          <w:sz w:val="20"/>
          <w:szCs w:val="20"/>
        </w:rPr>
        <w:t xml:space="preserve">available at </w:t>
      </w:r>
      <w:hyperlink r:id="rId8" w:history="1">
        <w:r w:rsidRPr="00264F2D">
          <w:rPr>
            <w:rStyle w:val="Hyperlink"/>
            <w:sz w:val="20"/>
            <w:szCs w:val="20"/>
          </w:rPr>
          <w:t>http://www.commonwealthfund.org/~/media/Files/Publications/Issue%20Brief/2012/Sep/1627_Hall_PCIP_enrollment_costs_lessons_rb.pdf</w:t>
        </w:r>
      </w:hyperlink>
      <w:r w:rsidRPr="00264F2D">
        <w:rPr>
          <w:sz w:val="20"/>
          <w:szCs w:val="20"/>
        </w:rPr>
        <w:t xml:space="preserve">  </w:t>
      </w:r>
    </w:p>
  </w:endnote>
  <w:endnote w:id="22">
    <w:p w14:paraId="7254A5BB"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Pre-Existing Condition Insurance Plans</w:t>
      </w:r>
      <w:r w:rsidRPr="00264F2D">
        <w:rPr>
          <w:sz w:val="20"/>
          <w:szCs w:val="20"/>
        </w:rPr>
        <w:t xml:space="preserve"> Department of Health and Human Services </w:t>
      </w:r>
      <w:hyperlink r:id="rId9" w:history="1">
        <w:r w:rsidRPr="00264F2D">
          <w:rPr>
            <w:rStyle w:val="Hyperlink"/>
            <w:sz w:val="20"/>
            <w:szCs w:val="20"/>
          </w:rPr>
          <w:t>http://www.healthcare.gov/law/features/choices/pre-existing-condition-insurance-plan/index.html</w:t>
        </w:r>
      </w:hyperlink>
      <w:r w:rsidRPr="00264F2D">
        <w:rPr>
          <w:sz w:val="20"/>
          <w:szCs w:val="20"/>
        </w:rPr>
        <w:t xml:space="preserve">. </w:t>
      </w:r>
    </w:p>
  </w:endnote>
  <w:endnote w:id="23">
    <w:p w14:paraId="3466E215" w14:textId="7E240411"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Establishing Health Insurance Exchanges: an Overview of State Efforts, </w:t>
      </w:r>
      <w:r w:rsidRPr="00264F2D">
        <w:rPr>
          <w:sz w:val="20"/>
          <w:szCs w:val="20"/>
        </w:rPr>
        <w:t xml:space="preserve">Kaiser Family Fund, 1, </w:t>
      </w:r>
      <w:r w:rsidRPr="00264F2D">
        <w:rPr>
          <w:i/>
          <w:sz w:val="20"/>
          <w:szCs w:val="20"/>
        </w:rPr>
        <w:t>available at</w:t>
      </w:r>
      <w:r w:rsidRPr="00264F2D">
        <w:rPr>
          <w:sz w:val="20"/>
          <w:szCs w:val="20"/>
        </w:rPr>
        <w:t xml:space="preserve"> </w:t>
      </w:r>
      <w:hyperlink r:id="rId10" w:history="1">
        <w:r w:rsidRPr="00264F2D">
          <w:rPr>
            <w:rStyle w:val="Hyperlink"/>
            <w:sz w:val="20"/>
            <w:szCs w:val="20"/>
          </w:rPr>
          <w:t>http://www.kff.org/healthreform/upload/8213-02.pdf</w:t>
        </w:r>
      </w:hyperlink>
      <w:r w:rsidRPr="00264F2D">
        <w:rPr>
          <w:sz w:val="20"/>
          <w:szCs w:val="20"/>
        </w:rPr>
        <w:t xml:space="preserve">. </w:t>
      </w:r>
    </w:p>
  </w:endnote>
  <w:endnote w:id="24">
    <w:p w14:paraId="69FC0FE0"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Patient Cost Sharing under the Affordable Care Act, </w:t>
      </w:r>
      <w:r w:rsidRPr="00264F2D">
        <w:rPr>
          <w:sz w:val="20"/>
          <w:szCs w:val="20"/>
        </w:rPr>
        <w:t xml:space="preserve">Kaiser Family Foundation, 3, </w:t>
      </w:r>
      <w:r w:rsidRPr="00264F2D">
        <w:rPr>
          <w:i/>
          <w:sz w:val="20"/>
          <w:szCs w:val="20"/>
        </w:rPr>
        <w:t>available at</w:t>
      </w:r>
      <w:r w:rsidRPr="00264F2D">
        <w:rPr>
          <w:sz w:val="20"/>
          <w:szCs w:val="20"/>
        </w:rPr>
        <w:t xml:space="preserve"> </w:t>
      </w:r>
      <w:hyperlink r:id="rId11" w:history="1">
        <w:r w:rsidRPr="00264F2D">
          <w:rPr>
            <w:rStyle w:val="Hyperlink"/>
            <w:sz w:val="20"/>
            <w:szCs w:val="20"/>
          </w:rPr>
          <w:t>http://www.kff.org/healthreform/upload/8303.pdf</w:t>
        </w:r>
      </w:hyperlink>
      <w:r w:rsidRPr="00264F2D">
        <w:rPr>
          <w:sz w:val="20"/>
          <w:szCs w:val="20"/>
        </w:rPr>
        <w:t xml:space="preserve">.   </w:t>
      </w:r>
    </w:p>
  </w:endnote>
  <w:endnote w:id="25">
    <w:p w14:paraId="05F9F2D3"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For more information on how exchange subsidies are calculated, see the NASTAD </w:t>
      </w:r>
      <w:r w:rsidRPr="00264F2D">
        <w:rPr>
          <w:i/>
          <w:sz w:val="20"/>
          <w:szCs w:val="20"/>
        </w:rPr>
        <w:t xml:space="preserve">Premium Tax Credits and Cost Sharing Subsidies </w:t>
      </w:r>
      <w:r w:rsidRPr="00264F2D">
        <w:rPr>
          <w:sz w:val="20"/>
          <w:szCs w:val="20"/>
        </w:rPr>
        <w:t xml:space="preserve">Issue Brief at </w:t>
      </w:r>
      <w:hyperlink r:id="rId12" w:history="1">
        <w:r w:rsidRPr="00264F2D">
          <w:rPr>
            <w:rStyle w:val="Hyperlink"/>
            <w:sz w:val="20"/>
            <w:szCs w:val="20"/>
          </w:rPr>
          <w:t>http://www.nastad.org/docs/HCA-Affordability-Brief-FINAL-February-2013.pdf</w:t>
        </w:r>
      </w:hyperlink>
    </w:p>
  </w:endnote>
  <w:endnote w:id="26">
    <w:p w14:paraId="60E53216" w14:textId="46BD01BA"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The Cost and Coverage Implications of the ACA Medicaid Expansion: National and State by State Analysis</w:t>
      </w:r>
      <w:r w:rsidRPr="00264F2D">
        <w:rPr>
          <w:sz w:val="20"/>
          <w:szCs w:val="20"/>
        </w:rPr>
        <w:t>, Kaiser Family Foundation, 3,</w:t>
      </w:r>
      <w:r w:rsidR="00264F2D">
        <w:rPr>
          <w:i/>
          <w:sz w:val="20"/>
          <w:szCs w:val="20"/>
        </w:rPr>
        <w:t xml:space="preserve"> available at</w:t>
      </w:r>
      <w:r w:rsidRPr="00264F2D">
        <w:rPr>
          <w:sz w:val="20"/>
          <w:szCs w:val="20"/>
        </w:rPr>
        <w:t xml:space="preserve"> </w:t>
      </w:r>
      <w:hyperlink r:id="rId13" w:history="1">
        <w:r w:rsidRPr="00264F2D">
          <w:rPr>
            <w:rStyle w:val="Hyperlink"/>
            <w:sz w:val="20"/>
            <w:szCs w:val="20"/>
          </w:rPr>
          <w:t>http://www.kff.org/medicaid/upload/8384.pdf</w:t>
        </w:r>
      </w:hyperlink>
      <w:r w:rsidRPr="00264F2D">
        <w:rPr>
          <w:sz w:val="20"/>
          <w:szCs w:val="20"/>
        </w:rPr>
        <w:t xml:space="preserve"> </w:t>
      </w:r>
    </w:p>
  </w:endnote>
  <w:endnote w:id="27">
    <w:p w14:paraId="53BF60FD"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Center on Budget and Policy Priorities, </w:t>
      </w:r>
      <w:r w:rsidRPr="00264F2D">
        <w:rPr>
          <w:i/>
          <w:sz w:val="20"/>
          <w:szCs w:val="20"/>
        </w:rPr>
        <w:t>Health Reform’s Medicaid Expansion, available at</w:t>
      </w:r>
      <w:r w:rsidRPr="00264F2D">
        <w:rPr>
          <w:sz w:val="20"/>
          <w:szCs w:val="20"/>
        </w:rPr>
        <w:t xml:space="preserve"> </w:t>
      </w:r>
      <w:hyperlink r:id="rId14" w:history="1">
        <w:r w:rsidRPr="00264F2D">
          <w:rPr>
            <w:rStyle w:val="Hyperlink"/>
            <w:sz w:val="20"/>
            <w:szCs w:val="20"/>
          </w:rPr>
          <w:t>http://www.cbpp.org/cms/index.cfm?fa=view&amp;id=3819</w:t>
        </w:r>
      </w:hyperlink>
      <w:r w:rsidRPr="00264F2D">
        <w:rPr>
          <w:sz w:val="20"/>
          <w:szCs w:val="20"/>
        </w:rPr>
        <w:t xml:space="preserve">.  </w:t>
      </w:r>
    </w:p>
  </w:endnote>
  <w:endnote w:id="28">
    <w:p w14:paraId="6FF8B26F"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42 USC § 1396o(a)(3). </w:t>
      </w:r>
    </w:p>
  </w:endnote>
  <w:endnote w:id="29">
    <w:p w14:paraId="32E23513" w14:textId="6977039A"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National ADAP Monitoring Project Annual Report, supra </w:t>
      </w:r>
      <w:r w:rsidRPr="00264F2D">
        <w:rPr>
          <w:sz w:val="20"/>
          <w:szCs w:val="20"/>
        </w:rPr>
        <w:t>note 4, at 21 (Table 2).</w:t>
      </w:r>
    </w:p>
  </w:endnote>
  <w:endnote w:id="30">
    <w:p w14:paraId="2B1AF158" w14:textId="4E1EFD82"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Pre-existing Condition Insurance Plan: North Carolina, </w:t>
      </w:r>
      <w:hyperlink r:id="rId15" w:history="1">
        <w:r w:rsidR="00264F2D" w:rsidRPr="007357EF">
          <w:rPr>
            <w:rStyle w:val="Hyperlink"/>
            <w:sz w:val="20"/>
            <w:szCs w:val="20"/>
          </w:rPr>
          <w:t>http://www.healthcare.gov/law/features/choices/pre-existing-condition-insurance-plan/nc.html</w:t>
        </w:r>
      </w:hyperlink>
      <w:r w:rsidR="00264F2D">
        <w:rPr>
          <w:sz w:val="20"/>
          <w:szCs w:val="20"/>
        </w:rPr>
        <w:t xml:space="preserve">. </w:t>
      </w:r>
    </w:p>
  </w:endnote>
  <w:endnote w:id="31">
    <w:p w14:paraId="43A995D5" w14:textId="04731504"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 xml:space="preserve">See </w:t>
      </w:r>
      <w:r w:rsidRPr="00264F2D">
        <w:rPr>
          <w:sz w:val="20"/>
          <w:szCs w:val="20"/>
        </w:rPr>
        <w:t xml:space="preserve">NASTAD </w:t>
      </w:r>
      <w:r w:rsidRPr="00264F2D">
        <w:rPr>
          <w:i/>
          <w:sz w:val="20"/>
          <w:szCs w:val="20"/>
        </w:rPr>
        <w:t xml:space="preserve">Premium Tax Credits and Cost Sharing Subsidies </w:t>
      </w:r>
      <w:r w:rsidRPr="00264F2D">
        <w:rPr>
          <w:sz w:val="20"/>
          <w:szCs w:val="20"/>
        </w:rPr>
        <w:t>Issue Brief,</w:t>
      </w:r>
      <w:r w:rsidR="00264F2D">
        <w:rPr>
          <w:sz w:val="20"/>
          <w:szCs w:val="20"/>
        </w:rPr>
        <w:t xml:space="preserve"> </w:t>
      </w:r>
      <w:r w:rsidR="00264F2D">
        <w:rPr>
          <w:i/>
          <w:sz w:val="20"/>
          <w:szCs w:val="20"/>
        </w:rPr>
        <w:t>available at</w:t>
      </w:r>
      <w:r w:rsidRPr="00264F2D">
        <w:rPr>
          <w:sz w:val="20"/>
          <w:szCs w:val="20"/>
        </w:rPr>
        <w:t xml:space="preserve"> </w:t>
      </w:r>
      <w:hyperlink r:id="rId16" w:history="1">
        <w:r w:rsidRPr="00264F2D">
          <w:rPr>
            <w:rStyle w:val="Hyperlink"/>
            <w:sz w:val="20"/>
            <w:szCs w:val="20"/>
          </w:rPr>
          <w:t>http://www.nastad.org/docs/HCA-Affordability-Brief-FINAL-February-2013.pdf</w:t>
        </w:r>
      </w:hyperlink>
      <w:r w:rsidRPr="00264F2D">
        <w:rPr>
          <w:rStyle w:val="Hyperlink"/>
          <w:sz w:val="20"/>
          <w:szCs w:val="20"/>
        </w:rPr>
        <w:t xml:space="preserve">. </w:t>
      </w:r>
    </w:p>
  </w:endnote>
  <w:endnote w:id="32">
    <w:p w14:paraId="5BE5F68D" w14:textId="77777777"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Pre-Existing Condition Insurance Plan Program Interim Final Rule, 75 Fed. Reg. 45014, 45021 (July 30, 2010) (to be codified at 7. C.F.R. Part 152). </w:t>
      </w:r>
    </w:p>
  </w:endnote>
  <w:endnote w:id="33">
    <w:p w14:paraId="48886583" w14:textId="77777777" w:rsidR="00DC0DD3" w:rsidRPr="00264F2D" w:rsidRDefault="00DC0DD3"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State of Illinois, Office of the Board of Directors, Comprehensive Health Insurance Plan, </w:t>
      </w:r>
      <w:r w:rsidRPr="00264F2D">
        <w:rPr>
          <w:i/>
          <w:sz w:val="20"/>
          <w:szCs w:val="20"/>
        </w:rPr>
        <w:t>Material Considered at the Sept. 19, 2012 Board Meeting, available at</w:t>
      </w:r>
      <w:r w:rsidRPr="00264F2D">
        <w:rPr>
          <w:sz w:val="20"/>
          <w:szCs w:val="20"/>
        </w:rPr>
        <w:t xml:space="preserve"> </w:t>
      </w:r>
      <w:hyperlink r:id="rId17" w:history="1">
        <w:r w:rsidRPr="00264F2D">
          <w:rPr>
            <w:rStyle w:val="Hyperlink"/>
            <w:sz w:val="20"/>
            <w:szCs w:val="20"/>
          </w:rPr>
          <w:t>http://www.chip.state.il.us/Material%20considered%20at%20the%20October%202%202012%20Board%20meeting.pdf</w:t>
        </w:r>
      </w:hyperlink>
      <w:r w:rsidRPr="00264F2D">
        <w:rPr>
          <w:sz w:val="20"/>
          <w:szCs w:val="20"/>
        </w:rPr>
        <w:t xml:space="preserve">. </w:t>
      </w:r>
    </w:p>
  </w:endnote>
  <w:endnote w:id="34">
    <w:p w14:paraId="7C0BD301" w14:textId="55308F2C" w:rsidR="00F1057E" w:rsidRPr="00264F2D" w:rsidRDefault="00C93090"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proofErr w:type="gramStart"/>
      <w:r w:rsidRPr="00264F2D">
        <w:rPr>
          <w:sz w:val="20"/>
          <w:szCs w:val="20"/>
        </w:rPr>
        <w:t>14 USC § 18011(4).</w:t>
      </w:r>
      <w:proofErr w:type="gramEnd"/>
    </w:p>
  </w:endnote>
  <w:endnote w:id="35">
    <w:p w14:paraId="6CAAC6E5" w14:textId="5754A6ED" w:rsidR="00F1057E" w:rsidRPr="00264F2D" w:rsidRDefault="00C93090" w:rsidP="00264F2D">
      <w:pPr>
        <w:pStyle w:val="EndnoteText"/>
        <w:spacing w:after="120"/>
        <w:ind w:left="180" w:hanging="180"/>
        <w:rPr>
          <w:sz w:val="20"/>
          <w:szCs w:val="20"/>
        </w:rPr>
      </w:pPr>
      <w:r w:rsidRPr="00264F2D">
        <w:rPr>
          <w:rStyle w:val="EndnoteReference"/>
          <w:sz w:val="20"/>
          <w:szCs w:val="20"/>
        </w:rPr>
        <w:endnoteRef/>
      </w:r>
      <w:r w:rsidR="00264F2D" w:rsidRPr="00264F2D">
        <w:rPr>
          <w:sz w:val="20"/>
          <w:szCs w:val="20"/>
        </w:rPr>
        <w:t xml:space="preserve"> </w:t>
      </w:r>
      <w:r w:rsidR="00264F2D" w:rsidRPr="00264F2D">
        <w:rPr>
          <w:i/>
          <w:sz w:val="20"/>
          <w:szCs w:val="20"/>
        </w:rPr>
        <w:t xml:space="preserve">Portability of Coverage, Enrollee Notices and Third Party Payments under the Pre-Existing Condition Insurance Plan Program (Policy Letter #3), </w:t>
      </w:r>
      <w:r w:rsidR="00264F2D" w:rsidRPr="00264F2D">
        <w:rPr>
          <w:sz w:val="20"/>
          <w:szCs w:val="20"/>
        </w:rPr>
        <w:t xml:space="preserve">Office of Insurance Programs, 4-5, </w:t>
      </w:r>
      <w:r w:rsidR="00264F2D" w:rsidRPr="00264F2D">
        <w:rPr>
          <w:i/>
          <w:sz w:val="20"/>
          <w:szCs w:val="20"/>
        </w:rPr>
        <w:t xml:space="preserve">available at </w:t>
      </w:r>
      <w:hyperlink r:id="rId18" w:history="1">
        <w:r w:rsidR="00264F2D" w:rsidRPr="00264F2D">
          <w:rPr>
            <w:rStyle w:val="Hyperlink"/>
            <w:sz w:val="20"/>
            <w:szCs w:val="20"/>
          </w:rPr>
          <w:t>http://cciio.cms.gov/resources/files/12-28-2010portability_of_coverage-ltr.pdf</w:t>
        </w:r>
      </w:hyperlink>
      <w:r w:rsidR="00264F2D" w:rsidRPr="00264F2D">
        <w:rPr>
          <w:sz w:val="20"/>
          <w:szCs w:val="20"/>
        </w:rPr>
        <w:t>.</w:t>
      </w:r>
    </w:p>
  </w:endnote>
  <w:endnote w:id="36">
    <w:p w14:paraId="6E9D3101" w14:textId="2FBC6A03" w:rsidR="00F1057E" w:rsidRPr="00264F2D" w:rsidRDefault="00264F2D" w:rsidP="00264F2D">
      <w:pPr>
        <w:pStyle w:val="EndnoteText"/>
        <w:spacing w:after="120"/>
        <w:ind w:left="180" w:hanging="180"/>
        <w:rPr>
          <w:i/>
          <w:sz w:val="20"/>
          <w:szCs w:val="20"/>
        </w:rPr>
      </w:pPr>
      <w:r w:rsidRPr="00264F2D">
        <w:rPr>
          <w:rStyle w:val="EndnoteReference"/>
          <w:sz w:val="20"/>
          <w:szCs w:val="20"/>
        </w:rPr>
        <w:endnoteRef/>
      </w:r>
      <w:r w:rsidRPr="00264F2D">
        <w:rPr>
          <w:i/>
          <w:sz w:val="20"/>
          <w:szCs w:val="20"/>
        </w:rPr>
        <w:t xml:space="preserve"> Id.</w:t>
      </w:r>
    </w:p>
  </w:endnote>
  <w:endnote w:id="37">
    <w:p w14:paraId="1F6DF045" w14:textId="31EEE525" w:rsidR="00F1057E" w:rsidRPr="00264F2D" w:rsidRDefault="00264F2D" w:rsidP="00264F2D">
      <w:pPr>
        <w:pStyle w:val="EndnoteText"/>
        <w:spacing w:after="120"/>
        <w:ind w:left="180" w:hanging="180"/>
        <w:rPr>
          <w:i/>
          <w:sz w:val="20"/>
          <w:szCs w:val="20"/>
        </w:rPr>
      </w:pPr>
      <w:r w:rsidRPr="00264F2D">
        <w:rPr>
          <w:rStyle w:val="EndnoteReference"/>
          <w:sz w:val="20"/>
          <w:szCs w:val="20"/>
        </w:rPr>
        <w:endnoteRef/>
      </w:r>
      <w:r w:rsidRPr="00264F2D">
        <w:rPr>
          <w:sz w:val="20"/>
          <w:szCs w:val="20"/>
        </w:rPr>
        <w:t xml:space="preserve">Brett Norman, </w:t>
      </w:r>
      <w:r w:rsidRPr="00264F2D">
        <w:rPr>
          <w:i/>
          <w:sz w:val="20"/>
          <w:szCs w:val="20"/>
        </w:rPr>
        <w:t xml:space="preserve">States Rethink High-Risk-Pool Plans, available at </w:t>
      </w:r>
      <w:hyperlink r:id="rId19" w:history="1">
        <w:r w:rsidRPr="00264F2D">
          <w:rPr>
            <w:rStyle w:val="Hyperlink"/>
            <w:sz w:val="20"/>
            <w:szCs w:val="20"/>
          </w:rPr>
          <w:t>http://www.politico.com/story/2013/01/states-rethink-high-risk-pools-exchanges-86831_Page2.html</w:t>
        </w:r>
      </w:hyperlink>
    </w:p>
  </w:endnote>
  <w:endnote w:id="38">
    <w:p w14:paraId="57A7591D" w14:textId="1B0CCC6C"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00264F2D">
        <w:rPr>
          <w:i/>
          <w:sz w:val="20"/>
          <w:szCs w:val="20"/>
        </w:rPr>
        <w:t xml:space="preserve">See </w:t>
      </w:r>
      <w:r w:rsidRPr="00264F2D">
        <w:rPr>
          <w:i/>
          <w:sz w:val="20"/>
          <w:szCs w:val="20"/>
        </w:rPr>
        <w:t>National ADAP Monitoring Project An</w:t>
      </w:r>
      <w:r w:rsidR="00264F2D">
        <w:rPr>
          <w:i/>
          <w:sz w:val="20"/>
          <w:szCs w:val="20"/>
        </w:rPr>
        <w:t xml:space="preserve">nual Report: Module 2 April </w:t>
      </w:r>
      <w:bookmarkStart w:id="0" w:name="_GoBack"/>
      <w:bookmarkEnd w:id="0"/>
      <w:r w:rsidR="00264F2D">
        <w:rPr>
          <w:i/>
          <w:sz w:val="20"/>
          <w:szCs w:val="20"/>
        </w:rPr>
        <w:t>2013.</w:t>
      </w:r>
    </w:p>
  </w:endnote>
  <w:endnote w:id="39">
    <w:p w14:paraId="4A128367" w14:textId="5002A348"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00F70C21">
        <w:rPr>
          <w:sz w:val="20"/>
          <w:szCs w:val="20"/>
        </w:rPr>
        <w:t xml:space="preserve">Each state’s website for its high risk pool was visited for transition information.  </w:t>
      </w:r>
      <w:r w:rsidRPr="00264F2D">
        <w:rPr>
          <w:i/>
          <w:sz w:val="20"/>
          <w:szCs w:val="20"/>
        </w:rPr>
        <w:t xml:space="preserve">See </w:t>
      </w:r>
      <w:r w:rsidRPr="00264F2D">
        <w:rPr>
          <w:sz w:val="20"/>
          <w:szCs w:val="20"/>
        </w:rPr>
        <w:t xml:space="preserve">State of Illinois, Office of the Board of Directors, Comprehensive Health Insurance Plan, </w:t>
      </w:r>
      <w:r w:rsidRPr="00264F2D">
        <w:rPr>
          <w:i/>
          <w:sz w:val="20"/>
          <w:szCs w:val="20"/>
        </w:rPr>
        <w:t xml:space="preserve">supra </w:t>
      </w:r>
      <w:r w:rsidRPr="00264F2D">
        <w:rPr>
          <w:sz w:val="20"/>
          <w:szCs w:val="20"/>
        </w:rPr>
        <w:t xml:space="preserve">note 33. </w:t>
      </w:r>
      <w:r w:rsidR="00F70C21">
        <w:rPr>
          <w:sz w:val="20"/>
          <w:szCs w:val="20"/>
        </w:rPr>
        <w:t>S</w:t>
      </w:r>
      <w:r w:rsidRPr="00264F2D">
        <w:rPr>
          <w:sz w:val="20"/>
          <w:szCs w:val="20"/>
        </w:rPr>
        <w:t>tates may have modified plans since</w:t>
      </w:r>
      <w:r w:rsidR="00F70C21">
        <w:rPr>
          <w:sz w:val="20"/>
          <w:szCs w:val="20"/>
        </w:rPr>
        <w:t xml:space="preserve"> the issuance of this report</w:t>
      </w:r>
      <w:r w:rsidRPr="00264F2D">
        <w:rPr>
          <w:sz w:val="20"/>
          <w:szCs w:val="20"/>
        </w:rPr>
        <w:t>.</w:t>
      </w:r>
      <w:r w:rsidR="00264F2D">
        <w:rPr>
          <w:sz w:val="20"/>
          <w:szCs w:val="20"/>
        </w:rPr>
        <w:t xml:space="preserve"> </w:t>
      </w:r>
    </w:p>
  </w:endnote>
  <w:endnote w:id="40">
    <w:p w14:paraId="4347E667" w14:textId="10393BD6"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00264F2D">
        <w:rPr>
          <w:i/>
          <w:sz w:val="20"/>
          <w:szCs w:val="20"/>
        </w:rPr>
        <w:t xml:space="preserve">See </w:t>
      </w:r>
      <w:r w:rsidRPr="00264F2D">
        <w:rPr>
          <w:i/>
          <w:sz w:val="20"/>
          <w:szCs w:val="20"/>
        </w:rPr>
        <w:t>Coverage of Uninsurable Pre-existing Conditions: State and Federal High-Risk Pool ,</w:t>
      </w:r>
      <w:r w:rsidRPr="00264F2D">
        <w:rPr>
          <w:sz w:val="20"/>
          <w:szCs w:val="20"/>
        </w:rPr>
        <w:t xml:space="preserve"> National Conference of State Legislatures</w:t>
      </w:r>
      <w:r w:rsidR="00264F2D">
        <w:rPr>
          <w:sz w:val="20"/>
          <w:szCs w:val="20"/>
        </w:rPr>
        <w:t>,</w:t>
      </w:r>
      <w:r w:rsidRPr="00264F2D">
        <w:rPr>
          <w:sz w:val="20"/>
          <w:szCs w:val="20"/>
        </w:rPr>
        <w:t xml:space="preserve"> </w:t>
      </w:r>
      <w:r w:rsidRPr="00264F2D">
        <w:rPr>
          <w:i/>
          <w:sz w:val="20"/>
          <w:szCs w:val="20"/>
        </w:rPr>
        <w:t>available at</w:t>
      </w:r>
      <w:r w:rsidRPr="00264F2D">
        <w:rPr>
          <w:sz w:val="20"/>
          <w:szCs w:val="20"/>
        </w:rPr>
        <w:t xml:space="preserve"> </w:t>
      </w:r>
      <w:hyperlink r:id="rId20" w:history="1">
        <w:r w:rsidRPr="00264F2D">
          <w:rPr>
            <w:rStyle w:val="Hyperlink"/>
            <w:sz w:val="20"/>
            <w:szCs w:val="20"/>
          </w:rPr>
          <w:t>http://www.ncsl.org/issues-research/health/high-risk-pools-for-health-coverage.aspx</w:t>
        </w:r>
      </w:hyperlink>
      <w:r w:rsidR="00F70C21">
        <w:rPr>
          <w:sz w:val="20"/>
          <w:szCs w:val="20"/>
        </w:rPr>
        <w:t xml:space="preserve"> (hereafter “</w:t>
      </w:r>
      <w:r w:rsidR="00F70C21" w:rsidRPr="00F70C21">
        <w:rPr>
          <w:sz w:val="20"/>
          <w:szCs w:val="20"/>
        </w:rPr>
        <w:t>NCSL Coverage of Uninsurable Pre-existing Conditions</w:t>
      </w:r>
      <w:r w:rsidR="00F70C21">
        <w:rPr>
          <w:sz w:val="20"/>
          <w:szCs w:val="20"/>
        </w:rPr>
        <w:t>.”)</w:t>
      </w:r>
      <w:r w:rsidRPr="00264F2D">
        <w:rPr>
          <w:sz w:val="20"/>
          <w:szCs w:val="20"/>
        </w:rPr>
        <w:t xml:space="preserve"> </w:t>
      </w:r>
    </w:p>
  </w:endnote>
  <w:endnote w:id="41">
    <w:p w14:paraId="385ECB0B" w14:textId="57612EED"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National ADAP Monitoring Project Annual Report, supra</w:t>
      </w:r>
      <w:r w:rsidRPr="00264F2D">
        <w:rPr>
          <w:sz w:val="20"/>
          <w:szCs w:val="20"/>
        </w:rPr>
        <w:t xml:space="preserve"> note </w:t>
      </w:r>
      <w:r w:rsidR="00F70C21">
        <w:rPr>
          <w:sz w:val="20"/>
          <w:szCs w:val="20"/>
        </w:rPr>
        <w:t>4</w:t>
      </w:r>
      <w:r w:rsidRPr="00264F2D">
        <w:rPr>
          <w:sz w:val="20"/>
          <w:szCs w:val="20"/>
        </w:rPr>
        <w:t>, at 24 (Table 5).</w:t>
      </w:r>
    </w:p>
  </w:endnote>
  <w:endnote w:id="42">
    <w:p w14:paraId="27A045BB" w14:textId="60996B20" w:rsidR="00F1057E" w:rsidRPr="00264F2D"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Pr="00264F2D">
        <w:rPr>
          <w:i/>
          <w:sz w:val="20"/>
          <w:szCs w:val="20"/>
        </w:rPr>
        <w:t>Where Each St</w:t>
      </w:r>
      <w:r w:rsidR="00F70C21">
        <w:rPr>
          <w:i/>
          <w:sz w:val="20"/>
          <w:szCs w:val="20"/>
        </w:rPr>
        <w:t xml:space="preserve">ate Stands on Medicaid Expansion, </w:t>
      </w:r>
      <w:r w:rsidR="00F70C21">
        <w:rPr>
          <w:sz w:val="20"/>
          <w:szCs w:val="20"/>
        </w:rPr>
        <w:t>The Advisory Board,</w:t>
      </w:r>
      <w:r w:rsidRPr="00264F2D">
        <w:rPr>
          <w:i/>
          <w:sz w:val="20"/>
          <w:szCs w:val="20"/>
        </w:rPr>
        <w:t xml:space="preserve"> available a</w:t>
      </w:r>
      <w:r w:rsidRPr="00264F2D">
        <w:rPr>
          <w:sz w:val="20"/>
          <w:szCs w:val="20"/>
        </w:rPr>
        <w:t xml:space="preserve">t </w:t>
      </w:r>
      <w:hyperlink r:id="rId21" w:anchor="lightbox/1/" w:history="1">
        <w:r w:rsidRPr="00264F2D">
          <w:rPr>
            <w:rStyle w:val="Hyperlink"/>
            <w:sz w:val="20"/>
            <w:szCs w:val="20"/>
          </w:rPr>
          <w:t>http://www.advisory.com/Daily-Briefing/2012/11/09/MedicaidMap#lightbox/1/</w:t>
        </w:r>
      </w:hyperlink>
      <w:r w:rsidRPr="00264F2D">
        <w:rPr>
          <w:sz w:val="20"/>
          <w:szCs w:val="20"/>
        </w:rPr>
        <w:t xml:space="preserve">. </w:t>
      </w:r>
    </w:p>
  </w:endnote>
  <w:endnote w:id="43">
    <w:p w14:paraId="4A9FDD84" w14:textId="6110E3B1" w:rsidR="00F1057E" w:rsidRPr="00F70C21" w:rsidRDefault="00F1057E" w:rsidP="00264F2D">
      <w:pPr>
        <w:pStyle w:val="EndnoteText"/>
        <w:spacing w:after="120"/>
        <w:ind w:left="180" w:hanging="180"/>
        <w:rPr>
          <w:sz w:val="20"/>
          <w:szCs w:val="20"/>
        </w:rPr>
      </w:pPr>
      <w:r w:rsidRPr="00264F2D">
        <w:rPr>
          <w:rStyle w:val="EndnoteReference"/>
          <w:sz w:val="20"/>
          <w:szCs w:val="20"/>
        </w:rPr>
        <w:endnoteRef/>
      </w:r>
      <w:r w:rsidRPr="00264F2D">
        <w:rPr>
          <w:sz w:val="20"/>
          <w:szCs w:val="20"/>
        </w:rPr>
        <w:t xml:space="preserve"> </w:t>
      </w:r>
      <w:r w:rsidR="00F70C21">
        <w:rPr>
          <w:i/>
          <w:sz w:val="20"/>
          <w:szCs w:val="20"/>
        </w:rPr>
        <w:t xml:space="preserve">See NCSL </w:t>
      </w:r>
      <w:r w:rsidRPr="00264F2D">
        <w:rPr>
          <w:i/>
          <w:sz w:val="20"/>
          <w:szCs w:val="20"/>
        </w:rPr>
        <w:t>Coverage of Uninsurable Pre-existing Conditions</w:t>
      </w:r>
      <w:r w:rsidR="00F70C21">
        <w:rPr>
          <w:i/>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F163A7" w14:textId="77777777" w:rsidR="00F1057E" w:rsidRDefault="00F1057E" w:rsidP="004E5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8E96B" w14:textId="77777777" w:rsidR="00F1057E" w:rsidRDefault="00F105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1B97D0" w14:textId="77777777" w:rsidR="00F1057E" w:rsidRPr="00FD7E57" w:rsidRDefault="00F1057E" w:rsidP="00D96438">
    <w:pPr>
      <w:pStyle w:val="Footer"/>
      <w:framePr w:wrap="around" w:vAnchor="text" w:hAnchor="margin" w:xAlign="center" w:y="1"/>
      <w:ind w:left="720"/>
      <w:rPr>
        <w:rStyle w:val="PageNumber"/>
        <w:rFonts w:ascii="Verdana" w:hAnsi="Verdana"/>
      </w:rPr>
    </w:pPr>
    <w:r w:rsidRPr="00FD7E57">
      <w:rPr>
        <w:rStyle w:val="PageNumber"/>
        <w:rFonts w:ascii="Verdana" w:hAnsi="Verdana"/>
      </w:rPr>
      <w:t xml:space="preserve">– </w:t>
    </w:r>
    <w:r w:rsidRPr="00FD7E57">
      <w:rPr>
        <w:rStyle w:val="PageNumber"/>
        <w:rFonts w:ascii="Verdana" w:hAnsi="Verdana"/>
      </w:rPr>
      <w:fldChar w:fldCharType="begin"/>
    </w:r>
    <w:r w:rsidRPr="00FD7E57">
      <w:rPr>
        <w:rStyle w:val="PageNumber"/>
        <w:rFonts w:ascii="Verdana" w:hAnsi="Verdana"/>
      </w:rPr>
      <w:instrText xml:space="preserve">PAGE  </w:instrText>
    </w:r>
    <w:r w:rsidRPr="00FD7E57">
      <w:rPr>
        <w:rStyle w:val="PageNumber"/>
        <w:rFonts w:ascii="Verdana" w:hAnsi="Verdana"/>
      </w:rPr>
      <w:fldChar w:fldCharType="separate"/>
    </w:r>
    <w:r w:rsidR="00570BE1">
      <w:rPr>
        <w:rStyle w:val="PageNumber"/>
        <w:rFonts w:ascii="Verdana" w:hAnsi="Verdana"/>
        <w:noProof/>
      </w:rPr>
      <w:t>10</w:t>
    </w:r>
    <w:r w:rsidRPr="00FD7E57">
      <w:rPr>
        <w:rStyle w:val="PageNumber"/>
        <w:rFonts w:ascii="Verdana" w:hAnsi="Verdana"/>
      </w:rPr>
      <w:fldChar w:fldCharType="end"/>
    </w:r>
    <w:r w:rsidRPr="00FD7E57">
      <w:rPr>
        <w:rStyle w:val="PageNumber"/>
        <w:rFonts w:ascii="Verdana" w:hAnsi="Verdana"/>
      </w:rPr>
      <w:t xml:space="preserve"> –</w:t>
    </w:r>
  </w:p>
  <w:p w14:paraId="679BE199" w14:textId="77777777" w:rsidR="00F1057E" w:rsidRPr="006431D0" w:rsidRDefault="00F1057E" w:rsidP="00D96438">
    <w:pPr>
      <w:pStyle w:val="Footer"/>
      <w:tabs>
        <w:tab w:val="clear" w:pos="4320"/>
        <w:tab w:val="clear" w:pos="8640"/>
        <w:tab w:val="left" w:pos="9800"/>
      </w:tabs>
      <w:rPr>
        <w:rFonts w:ascii="Verdana" w:hAnsi="Verdana"/>
        <w:color w:val="403152" w:themeColor="accent4" w:themeShade="80"/>
      </w:rPr>
    </w:pPr>
    <w:r w:rsidRPr="006431D0">
      <w:rPr>
        <w:rFonts w:ascii="Verdana" w:hAnsi="Verdana"/>
        <w:color w:val="403152" w:themeColor="accent4" w:themeShade="80"/>
      </w:rPr>
      <w:t>NASTAD.org</w:t>
    </w:r>
  </w:p>
  <w:p w14:paraId="622A9F05" w14:textId="77777777" w:rsidR="00F1057E" w:rsidRDefault="00F105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D1FFA" w14:textId="77777777" w:rsidR="000E67C3" w:rsidRDefault="000E67C3" w:rsidP="00D96438">
      <w:r>
        <w:separator/>
      </w:r>
    </w:p>
  </w:footnote>
  <w:footnote w:type="continuationSeparator" w:id="0">
    <w:p w14:paraId="7BC2BEDF" w14:textId="77777777" w:rsidR="000E67C3" w:rsidRDefault="000E67C3" w:rsidP="00D964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76D50E" w14:textId="77777777" w:rsidR="00F1057E" w:rsidRDefault="00570BE1">
    <w:pPr>
      <w:pStyle w:val="Header"/>
    </w:pPr>
    <w:r>
      <w:rPr>
        <w:noProof/>
      </w:rPr>
      <w:pict w14:anchorId="4B2EA4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76216"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4BF18" w14:textId="77777777" w:rsidR="00F1057E" w:rsidRDefault="00570BE1">
    <w:pPr>
      <w:pStyle w:val="Header"/>
    </w:pPr>
    <w:r>
      <w:rPr>
        <w:noProof/>
      </w:rPr>
      <w:pict w14:anchorId="57742D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76217"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318DC" w14:textId="77777777" w:rsidR="00F1057E" w:rsidRDefault="00570BE1">
    <w:pPr>
      <w:pStyle w:val="Header"/>
    </w:pPr>
    <w:r>
      <w:rPr>
        <w:noProof/>
      </w:rPr>
      <w:pict w14:anchorId="1F0A09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76215"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A5F"/>
    <w:multiLevelType w:val="hybridMultilevel"/>
    <w:tmpl w:val="208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D1245"/>
    <w:multiLevelType w:val="hybridMultilevel"/>
    <w:tmpl w:val="4110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649AD"/>
    <w:multiLevelType w:val="hybridMultilevel"/>
    <w:tmpl w:val="ABA67908"/>
    <w:lvl w:ilvl="0" w:tplc="E4DC48B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84FC8"/>
    <w:multiLevelType w:val="hybridMultilevel"/>
    <w:tmpl w:val="E5B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209CB"/>
    <w:multiLevelType w:val="hybridMultilevel"/>
    <w:tmpl w:val="061CD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41F54"/>
    <w:multiLevelType w:val="hybridMultilevel"/>
    <w:tmpl w:val="123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B4DF2"/>
    <w:multiLevelType w:val="hybridMultilevel"/>
    <w:tmpl w:val="20C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6365F"/>
    <w:multiLevelType w:val="hybridMultilevel"/>
    <w:tmpl w:val="525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F21D2"/>
    <w:multiLevelType w:val="hybridMultilevel"/>
    <w:tmpl w:val="6FA2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4542F"/>
    <w:multiLevelType w:val="hybridMultilevel"/>
    <w:tmpl w:val="D36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C61F6"/>
    <w:multiLevelType w:val="hybridMultilevel"/>
    <w:tmpl w:val="BAE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52E18"/>
    <w:multiLevelType w:val="hybridMultilevel"/>
    <w:tmpl w:val="EF9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8"/>
  </w:num>
  <w:num w:numId="7">
    <w:abstractNumId w:val="9"/>
  </w:num>
  <w:num w:numId="8">
    <w:abstractNumId w:val="1"/>
  </w:num>
  <w:num w:numId="9">
    <w:abstractNumId w:val="10"/>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38"/>
    <w:rsid w:val="000043B1"/>
    <w:rsid w:val="000203DA"/>
    <w:rsid w:val="000259B9"/>
    <w:rsid w:val="00030D50"/>
    <w:rsid w:val="00051665"/>
    <w:rsid w:val="000534F9"/>
    <w:rsid w:val="0009547F"/>
    <w:rsid w:val="000E2D70"/>
    <w:rsid w:val="000E67C3"/>
    <w:rsid w:val="000F2714"/>
    <w:rsid w:val="00102BA5"/>
    <w:rsid w:val="00127BAC"/>
    <w:rsid w:val="00140482"/>
    <w:rsid w:val="0014538C"/>
    <w:rsid w:val="00146240"/>
    <w:rsid w:val="00182637"/>
    <w:rsid w:val="001902D9"/>
    <w:rsid w:val="001A0DA1"/>
    <w:rsid w:val="001A27E0"/>
    <w:rsid w:val="001A6BDF"/>
    <w:rsid w:val="001B62FE"/>
    <w:rsid w:val="001E0077"/>
    <w:rsid w:val="001E1841"/>
    <w:rsid w:val="0020239B"/>
    <w:rsid w:val="002221AF"/>
    <w:rsid w:val="002404DD"/>
    <w:rsid w:val="00245D52"/>
    <w:rsid w:val="00247A8F"/>
    <w:rsid w:val="00263C59"/>
    <w:rsid w:val="00264F2D"/>
    <w:rsid w:val="00271B2D"/>
    <w:rsid w:val="00274128"/>
    <w:rsid w:val="0028754E"/>
    <w:rsid w:val="00290297"/>
    <w:rsid w:val="00292B07"/>
    <w:rsid w:val="00292C1F"/>
    <w:rsid w:val="002A0211"/>
    <w:rsid w:val="002B1503"/>
    <w:rsid w:val="002D64B9"/>
    <w:rsid w:val="002E6E2A"/>
    <w:rsid w:val="0032261D"/>
    <w:rsid w:val="003317DA"/>
    <w:rsid w:val="003337E4"/>
    <w:rsid w:val="00345F44"/>
    <w:rsid w:val="00352359"/>
    <w:rsid w:val="00367694"/>
    <w:rsid w:val="00377F5D"/>
    <w:rsid w:val="00382211"/>
    <w:rsid w:val="00396339"/>
    <w:rsid w:val="003A1F19"/>
    <w:rsid w:val="003B487F"/>
    <w:rsid w:val="003C23ED"/>
    <w:rsid w:val="003D0ACA"/>
    <w:rsid w:val="003D428B"/>
    <w:rsid w:val="004023B2"/>
    <w:rsid w:val="00411B74"/>
    <w:rsid w:val="00423B9A"/>
    <w:rsid w:val="00426CAA"/>
    <w:rsid w:val="00430271"/>
    <w:rsid w:val="00445CD8"/>
    <w:rsid w:val="00467D19"/>
    <w:rsid w:val="00467D2A"/>
    <w:rsid w:val="004C7B28"/>
    <w:rsid w:val="004D328D"/>
    <w:rsid w:val="004D5B00"/>
    <w:rsid w:val="004E12A6"/>
    <w:rsid w:val="004E55AC"/>
    <w:rsid w:val="004F40A6"/>
    <w:rsid w:val="005014C3"/>
    <w:rsid w:val="00510202"/>
    <w:rsid w:val="00512BD9"/>
    <w:rsid w:val="005151FE"/>
    <w:rsid w:val="00520AF6"/>
    <w:rsid w:val="00535BD4"/>
    <w:rsid w:val="00550348"/>
    <w:rsid w:val="005544F0"/>
    <w:rsid w:val="00561B55"/>
    <w:rsid w:val="005668A4"/>
    <w:rsid w:val="00570BE1"/>
    <w:rsid w:val="00592750"/>
    <w:rsid w:val="005954C7"/>
    <w:rsid w:val="005A3D62"/>
    <w:rsid w:val="005A7270"/>
    <w:rsid w:val="005A7E3E"/>
    <w:rsid w:val="005D45E3"/>
    <w:rsid w:val="005D6A25"/>
    <w:rsid w:val="005D7BB2"/>
    <w:rsid w:val="005E2ACE"/>
    <w:rsid w:val="005F60CA"/>
    <w:rsid w:val="00601351"/>
    <w:rsid w:val="00603840"/>
    <w:rsid w:val="00612C3F"/>
    <w:rsid w:val="006310B9"/>
    <w:rsid w:val="00640F61"/>
    <w:rsid w:val="006431D0"/>
    <w:rsid w:val="00696542"/>
    <w:rsid w:val="00696C00"/>
    <w:rsid w:val="006B3DD4"/>
    <w:rsid w:val="006D4061"/>
    <w:rsid w:val="006F4F62"/>
    <w:rsid w:val="0075022B"/>
    <w:rsid w:val="007505B3"/>
    <w:rsid w:val="007568E2"/>
    <w:rsid w:val="00771F74"/>
    <w:rsid w:val="007C0E74"/>
    <w:rsid w:val="007C3018"/>
    <w:rsid w:val="007C6706"/>
    <w:rsid w:val="007C7B96"/>
    <w:rsid w:val="007C7CA8"/>
    <w:rsid w:val="007D1D72"/>
    <w:rsid w:val="007D2E3E"/>
    <w:rsid w:val="007D62AA"/>
    <w:rsid w:val="007F5976"/>
    <w:rsid w:val="00802E68"/>
    <w:rsid w:val="00806431"/>
    <w:rsid w:val="0083699A"/>
    <w:rsid w:val="00847B0D"/>
    <w:rsid w:val="00886F43"/>
    <w:rsid w:val="00891EB5"/>
    <w:rsid w:val="00892146"/>
    <w:rsid w:val="008A1EE2"/>
    <w:rsid w:val="008A44B8"/>
    <w:rsid w:val="008C19DA"/>
    <w:rsid w:val="008C2B5D"/>
    <w:rsid w:val="008C7EF7"/>
    <w:rsid w:val="008D3CF6"/>
    <w:rsid w:val="008D722E"/>
    <w:rsid w:val="008E00F8"/>
    <w:rsid w:val="008E53CE"/>
    <w:rsid w:val="00904AC9"/>
    <w:rsid w:val="00910FE5"/>
    <w:rsid w:val="009158B7"/>
    <w:rsid w:val="009251D5"/>
    <w:rsid w:val="0092591C"/>
    <w:rsid w:val="00930607"/>
    <w:rsid w:val="00941421"/>
    <w:rsid w:val="0095114B"/>
    <w:rsid w:val="009C7E5F"/>
    <w:rsid w:val="009D25E0"/>
    <w:rsid w:val="009F0C10"/>
    <w:rsid w:val="009F7DBA"/>
    <w:rsid w:val="00A16AEC"/>
    <w:rsid w:val="00A17206"/>
    <w:rsid w:val="00A21774"/>
    <w:rsid w:val="00A36CFF"/>
    <w:rsid w:val="00A37084"/>
    <w:rsid w:val="00A51C5F"/>
    <w:rsid w:val="00A5536D"/>
    <w:rsid w:val="00A6348E"/>
    <w:rsid w:val="00A77B2F"/>
    <w:rsid w:val="00A81333"/>
    <w:rsid w:val="00AB2003"/>
    <w:rsid w:val="00AC4DF2"/>
    <w:rsid w:val="00AC64D5"/>
    <w:rsid w:val="00AF0E9E"/>
    <w:rsid w:val="00B140A0"/>
    <w:rsid w:val="00B15787"/>
    <w:rsid w:val="00B215D5"/>
    <w:rsid w:val="00B32E72"/>
    <w:rsid w:val="00B5183C"/>
    <w:rsid w:val="00B51CD9"/>
    <w:rsid w:val="00B67068"/>
    <w:rsid w:val="00B75796"/>
    <w:rsid w:val="00B835D3"/>
    <w:rsid w:val="00BA28B8"/>
    <w:rsid w:val="00BD5B7E"/>
    <w:rsid w:val="00BE5DD9"/>
    <w:rsid w:val="00BF24AE"/>
    <w:rsid w:val="00BF478C"/>
    <w:rsid w:val="00C01B15"/>
    <w:rsid w:val="00C108BB"/>
    <w:rsid w:val="00C31E0D"/>
    <w:rsid w:val="00C33464"/>
    <w:rsid w:val="00C36A93"/>
    <w:rsid w:val="00C36F32"/>
    <w:rsid w:val="00C403EF"/>
    <w:rsid w:val="00C54A43"/>
    <w:rsid w:val="00C622FC"/>
    <w:rsid w:val="00C653E2"/>
    <w:rsid w:val="00C767A4"/>
    <w:rsid w:val="00C87449"/>
    <w:rsid w:val="00C93090"/>
    <w:rsid w:val="00CB2EBE"/>
    <w:rsid w:val="00CB3819"/>
    <w:rsid w:val="00CC7BF9"/>
    <w:rsid w:val="00CF3F77"/>
    <w:rsid w:val="00D0682A"/>
    <w:rsid w:val="00D11AB0"/>
    <w:rsid w:val="00D2341C"/>
    <w:rsid w:val="00D36F63"/>
    <w:rsid w:val="00D64E47"/>
    <w:rsid w:val="00D6600C"/>
    <w:rsid w:val="00D70B0F"/>
    <w:rsid w:val="00D86F76"/>
    <w:rsid w:val="00D96438"/>
    <w:rsid w:val="00DC0DD3"/>
    <w:rsid w:val="00DC119C"/>
    <w:rsid w:val="00DE28D0"/>
    <w:rsid w:val="00DF7E77"/>
    <w:rsid w:val="00E07866"/>
    <w:rsid w:val="00E1190C"/>
    <w:rsid w:val="00E3383D"/>
    <w:rsid w:val="00E55868"/>
    <w:rsid w:val="00E817AF"/>
    <w:rsid w:val="00EA1567"/>
    <w:rsid w:val="00EA2E9D"/>
    <w:rsid w:val="00EB737F"/>
    <w:rsid w:val="00ED220C"/>
    <w:rsid w:val="00EE27F0"/>
    <w:rsid w:val="00EE2A55"/>
    <w:rsid w:val="00EE4997"/>
    <w:rsid w:val="00EE6796"/>
    <w:rsid w:val="00F1057E"/>
    <w:rsid w:val="00F1392E"/>
    <w:rsid w:val="00F24923"/>
    <w:rsid w:val="00F31498"/>
    <w:rsid w:val="00F50015"/>
    <w:rsid w:val="00F64D37"/>
    <w:rsid w:val="00F65BD9"/>
    <w:rsid w:val="00F70C21"/>
    <w:rsid w:val="00F812EF"/>
    <w:rsid w:val="00F86B98"/>
    <w:rsid w:val="00F9163A"/>
    <w:rsid w:val="00F929B2"/>
    <w:rsid w:val="00FA28D0"/>
    <w:rsid w:val="00FC2A3C"/>
    <w:rsid w:val="00FC3B79"/>
    <w:rsid w:val="00FD4FFA"/>
    <w:rsid w:val="00FD57B5"/>
    <w:rsid w:val="00FD7E57"/>
    <w:rsid w:val="00FE0227"/>
    <w:rsid w:val="00FE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A2E3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38"/>
    <w:rPr>
      <w:rFonts w:eastAsiaTheme="minorHAnsi"/>
      <w:sz w:val="22"/>
      <w:szCs w:val="22"/>
    </w:rPr>
  </w:style>
  <w:style w:type="paragraph" w:styleId="Heading1">
    <w:name w:val="heading 1"/>
    <w:basedOn w:val="Normal"/>
    <w:next w:val="Normal"/>
    <w:link w:val="Heading1Char"/>
    <w:uiPriority w:val="9"/>
    <w:qFormat/>
    <w:rsid w:val="005A72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38"/>
    <w:pPr>
      <w:tabs>
        <w:tab w:val="center" w:pos="4320"/>
        <w:tab w:val="right" w:pos="8640"/>
      </w:tabs>
    </w:pPr>
  </w:style>
  <w:style w:type="character" w:customStyle="1" w:styleId="HeaderChar">
    <w:name w:val="Header Char"/>
    <w:basedOn w:val="DefaultParagraphFont"/>
    <w:link w:val="Header"/>
    <w:uiPriority w:val="99"/>
    <w:rsid w:val="00D96438"/>
  </w:style>
  <w:style w:type="paragraph" w:styleId="Footer">
    <w:name w:val="footer"/>
    <w:basedOn w:val="Normal"/>
    <w:link w:val="FooterChar"/>
    <w:uiPriority w:val="99"/>
    <w:unhideWhenUsed/>
    <w:rsid w:val="00D96438"/>
    <w:pPr>
      <w:tabs>
        <w:tab w:val="center" w:pos="4320"/>
        <w:tab w:val="right" w:pos="8640"/>
      </w:tabs>
    </w:pPr>
  </w:style>
  <w:style w:type="character" w:customStyle="1" w:styleId="FooterChar">
    <w:name w:val="Footer Char"/>
    <w:basedOn w:val="DefaultParagraphFont"/>
    <w:link w:val="Footer"/>
    <w:uiPriority w:val="99"/>
    <w:rsid w:val="00D96438"/>
  </w:style>
  <w:style w:type="character" w:styleId="PageNumber">
    <w:name w:val="page number"/>
    <w:basedOn w:val="DefaultParagraphFont"/>
    <w:uiPriority w:val="99"/>
    <w:semiHidden/>
    <w:unhideWhenUsed/>
    <w:rsid w:val="00D96438"/>
  </w:style>
  <w:style w:type="character" w:styleId="Hyperlink">
    <w:name w:val="Hyperlink"/>
    <w:basedOn w:val="DefaultParagraphFont"/>
    <w:uiPriority w:val="99"/>
    <w:unhideWhenUsed/>
    <w:rsid w:val="001A27E0"/>
    <w:rPr>
      <w:color w:val="0000FF" w:themeColor="hyperlink"/>
      <w:u w:val="single"/>
    </w:rPr>
  </w:style>
  <w:style w:type="paragraph" w:styleId="ListParagraph">
    <w:name w:val="List Paragraph"/>
    <w:basedOn w:val="Normal"/>
    <w:uiPriority w:val="34"/>
    <w:qFormat/>
    <w:rsid w:val="001A27E0"/>
    <w:pPr>
      <w:ind w:left="720"/>
      <w:contextualSpacing/>
    </w:pPr>
  </w:style>
  <w:style w:type="paragraph" w:styleId="FootnoteText">
    <w:name w:val="footnote text"/>
    <w:basedOn w:val="Normal"/>
    <w:link w:val="FootnoteTextChar"/>
    <w:uiPriority w:val="99"/>
    <w:semiHidden/>
    <w:unhideWhenUsed/>
    <w:rsid w:val="001A27E0"/>
    <w:rPr>
      <w:sz w:val="20"/>
      <w:szCs w:val="20"/>
    </w:rPr>
  </w:style>
  <w:style w:type="character" w:customStyle="1" w:styleId="FootnoteTextChar">
    <w:name w:val="Footnote Text Char"/>
    <w:basedOn w:val="DefaultParagraphFont"/>
    <w:link w:val="FootnoteText"/>
    <w:uiPriority w:val="99"/>
    <w:semiHidden/>
    <w:rsid w:val="001A27E0"/>
    <w:rPr>
      <w:rFonts w:eastAsiaTheme="minorHAnsi"/>
      <w:sz w:val="20"/>
      <w:szCs w:val="20"/>
    </w:rPr>
  </w:style>
  <w:style w:type="character" w:styleId="FootnoteReference">
    <w:name w:val="footnote reference"/>
    <w:basedOn w:val="DefaultParagraphFont"/>
    <w:uiPriority w:val="99"/>
    <w:semiHidden/>
    <w:unhideWhenUsed/>
    <w:rsid w:val="001A27E0"/>
    <w:rPr>
      <w:vertAlign w:val="superscript"/>
    </w:rPr>
  </w:style>
  <w:style w:type="table" w:styleId="TableGrid">
    <w:name w:val="Table Grid"/>
    <w:basedOn w:val="TableNormal"/>
    <w:uiPriority w:val="59"/>
    <w:rsid w:val="00C31E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45F44"/>
    <w:rPr>
      <w:sz w:val="24"/>
      <w:szCs w:val="24"/>
    </w:rPr>
  </w:style>
  <w:style w:type="character" w:customStyle="1" w:styleId="EndnoteTextChar">
    <w:name w:val="Endnote Text Char"/>
    <w:basedOn w:val="DefaultParagraphFont"/>
    <w:link w:val="EndnoteText"/>
    <w:uiPriority w:val="99"/>
    <w:rsid w:val="00345F44"/>
    <w:rPr>
      <w:rFonts w:eastAsiaTheme="minorHAnsi"/>
    </w:rPr>
  </w:style>
  <w:style w:type="character" w:styleId="EndnoteReference">
    <w:name w:val="endnote reference"/>
    <w:basedOn w:val="DefaultParagraphFont"/>
    <w:uiPriority w:val="99"/>
    <w:unhideWhenUsed/>
    <w:rsid w:val="00345F44"/>
    <w:rPr>
      <w:vertAlign w:val="superscript"/>
    </w:rPr>
  </w:style>
  <w:style w:type="table" w:styleId="LightShading-Accent4">
    <w:name w:val="Light Shading Accent 4"/>
    <w:basedOn w:val="TableNormal"/>
    <w:uiPriority w:val="60"/>
    <w:rsid w:val="00345F4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7C7CA8"/>
    <w:rPr>
      <w:sz w:val="18"/>
      <w:szCs w:val="18"/>
    </w:rPr>
  </w:style>
  <w:style w:type="paragraph" w:styleId="CommentText">
    <w:name w:val="annotation text"/>
    <w:basedOn w:val="Normal"/>
    <w:link w:val="CommentTextChar"/>
    <w:uiPriority w:val="99"/>
    <w:semiHidden/>
    <w:unhideWhenUsed/>
    <w:rsid w:val="007C7CA8"/>
    <w:rPr>
      <w:sz w:val="24"/>
      <w:szCs w:val="24"/>
    </w:rPr>
  </w:style>
  <w:style w:type="character" w:customStyle="1" w:styleId="CommentTextChar">
    <w:name w:val="Comment Text Char"/>
    <w:basedOn w:val="DefaultParagraphFont"/>
    <w:link w:val="CommentText"/>
    <w:uiPriority w:val="99"/>
    <w:semiHidden/>
    <w:rsid w:val="007C7CA8"/>
    <w:rPr>
      <w:rFonts w:eastAsiaTheme="minorHAnsi"/>
    </w:rPr>
  </w:style>
  <w:style w:type="paragraph" w:styleId="CommentSubject">
    <w:name w:val="annotation subject"/>
    <w:basedOn w:val="CommentText"/>
    <w:next w:val="CommentText"/>
    <w:link w:val="CommentSubjectChar"/>
    <w:uiPriority w:val="99"/>
    <w:semiHidden/>
    <w:unhideWhenUsed/>
    <w:rsid w:val="007C7CA8"/>
    <w:rPr>
      <w:b/>
      <w:bCs/>
      <w:sz w:val="20"/>
      <w:szCs w:val="20"/>
    </w:rPr>
  </w:style>
  <w:style w:type="character" w:customStyle="1" w:styleId="CommentSubjectChar">
    <w:name w:val="Comment Subject Char"/>
    <w:basedOn w:val="CommentTextChar"/>
    <w:link w:val="CommentSubject"/>
    <w:uiPriority w:val="99"/>
    <w:semiHidden/>
    <w:rsid w:val="007C7CA8"/>
    <w:rPr>
      <w:rFonts w:eastAsiaTheme="minorHAnsi"/>
      <w:b/>
      <w:bCs/>
      <w:sz w:val="20"/>
      <w:szCs w:val="20"/>
    </w:rPr>
  </w:style>
  <w:style w:type="paragraph" w:styleId="BalloonText">
    <w:name w:val="Balloon Text"/>
    <w:basedOn w:val="Normal"/>
    <w:link w:val="BalloonTextChar"/>
    <w:uiPriority w:val="99"/>
    <w:semiHidden/>
    <w:unhideWhenUsed/>
    <w:rsid w:val="007C7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CA8"/>
    <w:rPr>
      <w:rFonts w:ascii="Lucida Grande" w:eastAsiaTheme="minorHAnsi" w:hAnsi="Lucida Grande" w:cs="Lucida Grande"/>
      <w:sz w:val="18"/>
      <w:szCs w:val="18"/>
    </w:rPr>
  </w:style>
  <w:style w:type="table" w:styleId="LightGrid-Accent1">
    <w:name w:val="Light Grid Accent 1"/>
    <w:basedOn w:val="TableNormal"/>
    <w:uiPriority w:val="62"/>
    <w:rsid w:val="00A217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A2177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5A72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727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A7270"/>
    <w:pPr>
      <w:spacing w:before="120"/>
    </w:pPr>
    <w:rPr>
      <w:b/>
      <w:sz w:val="24"/>
      <w:szCs w:val="24"/>
    </w:rPr>
  </w:style>
  <w:style w:type="paragraph" w:styleId="TOC2">
    <w:name w:val="toc 2"/>
    <w:basedOn w:val="Normal"/>
    <w:next w:val="Normal"/>
    <w:autoRedefine/>
    <w:uiPriority w:val="39"/>
    <w:semiHidden/>
    <w:unhideWhenUsed/>
    <w:rsid w:val="005A7270"/>
    <w:pPr>
      <w:ind w:left="220"/>
    </w:pPr>
    <w:rPr>
      <w:b/>
    </w:rPr>
  </w:style>
  <w:style w:type="paragraph" w:styleId="TOC3">
    <w:name w:val="toc 3"/>
    <w:basedOn w:val="Normal"/>
    <w:next w:val="Normal"/>
    <w:autoRedefine/>
    <w:uiPriority w:val="39"/>
    <w:semiHidden/>
    <w:unhideWhenUsed/>
    <w:rsid w:val="005A7270"/>
    <w:pPr>
      <w:ind w:left="440"/>
    </w:pPr>
  </w:style>
  <w:style w:type="paragraph" w:styleId="TOC4">
    <w:name w:val="toc 4"/>
    <w:basedOn w:val="Normal"/>
    <w:next w:val="Normal"/>
    <w:autoRedefine/>
    <w:uiPriority w:val="39"/>
    <w:semiHidden/>
    <w:unhideWhenUsed/>
    <w:rsid w:val="005A7270"/>
    <w:pPr>
      <w:ind w:left="660"/>
    </w:pPr>
    <w:rPr>
      <w:sz w:val="20"/>
      <w:szCs w:val="20"/>
    </w:rPr>
  </w:style>
  <w:style w:type="paragraph" w:styleId="TOC5">
    <w:name w:val="toc 5"/>
    <w:basedOn w:val="Normal"/>
    <w:next w:val="Normal"/>
    <w:autoRedefine/>
    <w:uiPriority w:val="39"/>
    <w:semiHidden/>
    <w:unhideWhenUsed/>
    <w:rsid w:val="005A7270"/>
    <w:pPr>
      <w:ind w:left="880"/>
    </w:pPr>
    <w:rPr>
      <w:sz w:val="20"/>
      <w:szCs w:val="20"/>
    </w:rPr>
  </w:style>
  <w:style w:type="paragraph" w:styleId="TOC6">
    <w:name w:val="toc 6"/>
    <w:basedOn w:val="Normal"/>
    <w:next w:val="Normal"/>
    <w:autoRedefine/>
    <w:uiPriority w:val="39"/>
    <w:semiHidden/>
    <w:unhideWhenUsed/>
    <w:rsid w:val="005A7270"/>
    <w:pPr>
      <w:ind w:left="1100"/>
    </w:pPr>
    <w:rPr>
      <w:sz w:val="20"/>
      <w:szCs w:val="20"/>
    </w:rPr>
  </w:style>
  <w:style w:type="paragraph" w:styleId="TOC7">
    <w:name w:val="toc 7"/>
    <w:basedOn w:val="Normal"/>
    <w:next w:val="Normal"/>
    <w:autoRedefine/>
    <w:uiPriority w:val="39"/>
    <w:semiHidden/>
    <w:unhideWhenUsed/>
    <w:rsid w:val="005A7270"/>
    <w:pPr>
      <w:ind w:left="1320"/>
    </w:pPr>
    <w:rPr>
      <w:sz w:val="20"/>
      <w:szCs w:val="20"/>
    </w:rPr>
  </w:style>
  <w:style w:type="paragraph" w:styleId="TOC8">
    <w:name w:val="toc 8"/>
    <w:basedOn w:val="Normal"/>
    <w:next w:val="Normal"/>
    <w:autoRedefine/>
    <w:uiPriority w:val="39"/>
    <w:semiHidden/>
    <w:unhideWhenUsed/>
    <w:rsid w:val="005A7270"/>
    <w:pPr>
      <w:ind w:left="1540"/>
    </w:pPr>
    <w:rPr>
      <w:sz w:val="20"/>
      <w:szCs w:val="20"/>
    </w:rPr>
  </w:style>
  <w:style w:type="paragraph" w:styleId="TOC9">
    <w:name w:val="toc 9"/>
    <w:basedOn w:val="Normal"/>
    <w:next w:val="Normal"/>
    <w:autoRedefine/>
    <w:uiPriority w:val="39"/>
    <w:semiHidden/>
    <w:unhideWhenUsed/>
    <w:rsid w:val="005A7270"/>
    <w:pPr>
      <w:ind w:left="1760"/>
    </w:pPr>
    <w:rPr>
      <w:sz w:val="20"/>
      <w:szCs w:val="20"/>
    </w:rPr>
  </w:style>
  <w:style w:type="character" w:styleId="FollowedHyperlink">
    <w:name w:val="FollowedHyperlink"/>
    <w:basedOn w:val="DefaultParagraphFont"/>
    <w:uiPriority w:val="99"/>
    <w:semiHidden/>
    <w:unhideWhenUsed/>
    <w:rsid w:val="00FD7E57"/>
    <w:rPr>
      <w:color w:val="800080" w:themeColor="followedHyperlink"/>
      <w:u w:val="single"/>
    </w:rPr>
  </w:style>
  <w:style w:type="character" w:styleId="HTMLCite">
    <w:name w:val="HTML Cite"/>
    <w:basedOn w:val="DefaultParagraphFont"/>
    <w:uiPriority w:val="99"/>
    <w:semiHidden/>
    <w:unhideWhenUsed/>
    <w:rsid w:val="005014C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38"/>
    <w:rPr>
      <w:rFonts w:eastAsiaTheme="minorHAnsi"/>
      <w:sz w:val="22"/>
      <w:szCs w:val="22"/>
    </w:rPr>
  </w:style>
  <w:style w:type="paragraph" w:styleId="Heading1">
    <w:name w:val="heading 1"/>
    <w:basedOn w:val="Normal"/>
    <w:next w:val="Normal"/>
    <w:link w:val="Heading1Char"/>
    <w:uiPriority w:val="9"/>
    <w:qFormat/>
    <w:rsid w:val="005A72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38"/>
    <w:pPr>
      <w:tabs>
        <w:tab w:val="center" w:pos="4320"/>
        <w:tab w:val="right" w:pos="8640"/>
      </w:tabs>
    </w:pPr>
  </w:style>
  <w:style w:type="character" w:customStyle="1" w:styleId="HeaderChar">
    <w:name w:val="Header Char"/>
    <w:basedOn w:val="DefaultParagraphFont"/>
    <w:link w:val="Header"/>
    <w:uiPriority w:val="99"/>
    <w:rsid w:val="00D96438"/>
  </w:style>
  <w:style w:type="paragraph" w:styleId="Footer">
    <w:name w:val="footer"/>
    <w:basedOn w:val="Normal"/>
    <w:link w:val="FooterChar"/>
    <w:uiPriority w:val="99"/>
    <w:unhideWhenUsed/>
    <w:rsid w:val="00D96438"/>
    <w:pPr>
      <w:tabs>
        <w:tab w:val="center" w:pos="4320"/>
        <w:tab w:val="right" w:pos="8640"/>
      </w:tabs>
    </w:pPr>
  </w:style>
  <w:style w:type="character" w:customStyle="1" w:styleId="FooterChar">
    <w:name w:val="Footer Char"/>
    <w:basedOn w:val="DefaultParagraphFont"/>
    <w:link w:val="Footer"/>
    <w:uiPriority w:val="99"/>
    <w:rsid w:val="00D96438"/>
  </w:style>
  <w:style w:type="character" w:styleId="PageNumber">
    <w:name w:val="page number"/>
    <w:basedOn w:val="DefaultParagraphFont"/>
    <w:uiPriority w:val="99"/>
    <w:semiHidden/>
    <w:unhideWhenUsed/>
    <w:rsid w:val="00D96438"/>
  </w:style>
  <w:style w:type="character" w:styleId="Hyperlink">
    <w:name w:val="Hyperlink"/>
    <w:basedOn w:val="DefaultParagraphFont"/>
    <w:uiPriority w:val="99"/>
    <w:unhideWhenUsed/>
    <w:rsid w:val="001A27E0"/>
    <w:rPr>
      <w:color w:val="0000FF" w:themeColor="hyperlink"/>
      <w:u w:val="single"/>
    </w:rPr>
  </w:style>
  <w:style w:type="paragraph" w:styleId="ListParagraph">
    <w:name w:val="List Paragraph"/>
    <w:basedOn w:val="Normal"/>
    <w:uiPriority w:val="34"/>
    <w:qFormat/>
    <w:rsid w:val="001A27E0"/>
    <w:pPr>
      <w:ind w:left="720"/>
      <w:contextualSpacing/>
    </w:pPr>
  </w:style>
  <w:style w:type="paragraph" w:styleId="FootnoteText">
    <w:name w:val="footnote text"/>
    <w:basedOn w:val="Normal"/>
    <w:link w:val="FootnoteTextChar"/>
    <w:uiPriority w:val="99"/>
    <w:semiHidden/>
    <w:unhideWhenUsed/>
    <w:rsid w:val="001A27E0"/>
    <w:rPr>
      <w:sz w:val="20"/>
      <w:szCs w:val="20"/>
    </w:rPr>
  </w:style>
  <w:style w:type="character" w:customStyle="1" w:styleId="FootnoteTextChar">
    <w:name w:val="Footnote Text Char"/>
    <w:basedOn w:val="DefaultParagraphFont"/>
    <w:link w:val="FootnoteText"/>
    <w:uiPriority w:val="99"/>
    <w:semiHidden/>
    <w:rsid w:val="001A27E0"/>
    <w:rPr>
      <w:rFonts w:eastAsiaTheme="minorHAnsi"/>
      <w:sz w:val="20"/>
      <w:szCs w:val="20"/>
    </w:rPr>
  </w:style>
  <w:style w:type="character" w:styleId="FootnoteReference">
    <w:name w:val="footnote reference"/>
    <w:basedOn w:val="DefaultParagraphFont"/>
    <w:uiPriority w:val="99"/>
    <w:semiHidden/>
    <w:unhideWhenUsed/>
    <w:rsid w:val="001A27E0"/>
    <w:rPr>
      <w:vertAlign w:val="superscript"/>
    </w:rPr>
  </w:style>
  <w:style w:type="table" w:styleId="TableGrid">
    <w:name w:val="Table Grid"/>
    <w:basedOn w:val="TableNormal"/>
    <w:uiPriority w:val="59"/>
    <w:rsid w:val="00C31E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45F44"/>
    <w:rPr>
      <w:sz w:val="24"/>
      <w:szCs w:val="24"/>
    </w:rPr>
  </w:style>
  <w:style w:type="character" w:customStyle="1" w:styleId="EndnoteTextChar">
    <w:name w:val="Endnote Text Char"/>
    <w:basedOn w:val="DefaultParagraphFont"/>
    <w:link w:val="EndnoteText"/>
    <w:uiPriority w:val="99"/>
    <w:rsid w:val="00345F44"/>
    <w:rPr>
      <w:rFonts w:eastAsiaTheme="minorHAnsi"/>
    </w:rPr>
  </w:style>
  <w:style w:type="character" w:styleId="EndnoteReference">
    <w:name w:val="endnote reference"/>
    <w:basedOn w:val="DefaultParagraphFont"/>
    <w:uiPriority w:val="99"/>
    <w:unhideWhenUsed/>
    <w:rsid w:val="00345F44"/>
    <w:rPr>
      <w:vertAlign w:val="superscript"/>
    </w:rPr>
  </w:style>
  <w:style w:type="table" w:styleId="LightShading-Accent4">
    <w:name w:val="Light Shading Accent 4"/>
    <w:basedOn w:val="TableNormal"/>
    <w:uiPriority w:val="60"/>
    <w:rsid w:val="00345F4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7C7CA8"/>
    <w:rPr>
      <w:sz w:val="18"/>
      <w:szCs w:val="18"/>
    </w:rPr>
  </w:style>
  <w:style w:type="paragraph" w:styleId="CommentText">
    <w:name w:val="annotation text"/>
    <w:basedOn w:val="Normal"/>
    <w:link w:val="CommentTextChar"/>
    <w:uiPriority w:val="99"/>
    <w:semiHidden/>
    <w:unhideWhenUsed/>
    <w:rsid w:val="007C7CA8"/>
    <w:rPr>
      <w:sz w:val="24"/>
      <w:szCs w:val="24"/>
    </w:rPr>
  </w:style>
  <w:style w:type="character" w:customStyle="1" w:styleId="CommentTextChar">
    <w:name w:val="Comment Text Char"/>
    <w:basedOn w:val="DefaultParagraphFont"/>
    <w:link w:val="CommentText"/>
    <w:uiPriority w:val="99"/>
    <w:semiHidden/>
    <w:rsid w:val="007C7CA8"/>
    <w:rPr>
      <w:rFonts w:eastAsiaTheme="minorHAnsi"/>
    </w:rPr>
  </w:style>
  <w:style w:type="paragraph" w:styleId="CommentSubject">
    <w:name w:val="annotation subject"/>
    <w:basedOn w:val="CommentText"/>
    <w:next w:val="CommentText"/>
    <w:link w:val="CommentSubjectChar"/>
    <w:uiPriority w:val="99"/>
    <w:semiHidden/>
    <w:unhideWhenUsed/>
    <w:rsid w:val="007C7CA8"/>
    <w:rPr>
      <w:b/>
      <w:bCs/>
      <w:sz w:val="20"/>
      <w:szCs w:val="20"/>
    </w:rPr>
  </w:style>
  <w:style w:type="character" w:customStyle="1" w:styleId="CommentSubjectChar">
    <w:name w:val="Comment Subject Char"/>
    <w:basedOn w:val="CommentTextChar"/>
    <w:link w:val="CommentSubject"/>
    <w:uiPriority w:val="99"/>
    <w:semiHidden/>
    <w:rsid w:val="007C7CA8"/>
    <w:rPr>
      <w:rFonts w:eastAsiaTheme="minorHAnsi"/>
      <w:b/>
      <w:bCs/>
      <w:sz w:val="20"/>
      <w:szCs w:val="20"/>
    </w:rPr>
  </w:style>
  <w:style w:type="paragraph" w:styleId="BalloonText">
    <w:name w:val="Balloon Text"/>
    <w:basedOn w:val="Normal"/>
    <w:link w:val="BalloonTextChar"/>
    <w:uiPriority w:val="99"/>
    <w:semiHidden/>
    <w:unhideWhenUsed/>
    <w:rsid w:val="007C7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CA8"/>
    <w:rPr>
      <w:rFonts w:ascii="Lucida Grande" w:eastAsiaTheme="minorHAnsi" w:hAnsi="Lucida Grande" w:cs="Lucida Grande"/>
      <w:sz w:val="18"/>
      <w:szCs w:val="18"/>
    </w:rPr>
  </w:style>
  <w:style w:type="table" w:styleId="LightGrid-Accent1">
    <w:name w:val="Light Grid Accent 1"/>
    <w:basedOn w:val="TableNormal"/>
    <w:uiPriority w:val="62"/>
    <w:rsid w:val="00A217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A2177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5A72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727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A7270"/>
    <w:pPr>
      <w:spacing w:before="120"/>
    </w:pPr>
    <w:rPr>
      <w:b/>
      <w:sz w:val="24"/>
      <w:szCs w:val="24"/>
    </w:rPr>
  </w:style>
  <w:style w:type="paragraph" w:styleId="TOC2">
    <w:name w:val="toc 2"/>
    <w:basedOn w:val="Normal"/>
    <w:next w:val="Normal"/>
    <w:autoRedefine/>
    <w:uiPriority w:val="39"/>
    <w:semiHidden/>
    <w:unhideWhenUsed/>
    <w:rsid w:val="005A7270"/>
    <w:pPr>
      <w:ind w:left="220"/>
    </w:pPr>
    <w:rPr>
      <w:b/>
    </w:rPr>
  </w:style>
  <w:style w:type="paragraph" w:styleId="TOC3">
    <w:name w:val="toc 3"/>
    <w:basedOn w:val="Normal"/>
    <w:next w:val="Normal"/>
    <w:autoRedefine/>
    <w:uiPriority w:val="39"/>
    <w:semiHidden/>
    <w:unhideWhenUsed/>
    <w:rsid w:val="005A7270"/>
    <w:pPr>
      <w:ind w:left="440"/>
    </w:pPr>
  </w:style>
  <w:style w:type="paragraph" w:styleId="TOC4">
    <w:name w:val="toc 4"/>
    <w:basedOn w:val="Normal"/>
    <w:next w:val="Normal"/>
    <w:autoRedefine/>
    <w:uiPriority w:val="39"/>
    <w:semiHidden/>
    <w:unhideWhenUsed/>
    <w:rsid w:val="005A7270"/>
    <w:pPr>
      <w:ind w:left="660"/>
    </w:pPr>
    <w:rPr>
      <w:sz w:val="20"/>
      <w:szCs w:val="20"/>
    </w:rPr>
  </w:style>
  <w:style w:type="paragraph" w:styleId="TOC5">
    <w:name w:val="toc 5"/>
    <w:basedOn w:val="Normal"/>
    <w:next w:val="Normal"/>
    <w:autoRedefine/>
    <w:uiPriority w:val="39"/>
    <w:semiHidden/>
    <w:unhideWhenUsed/>
    <w:rsid w:val="005A7270"/>
    <w:pPr>
      <w:ind w:left="880"/>
    </w:pPr>
    <w:rPr>
      <w:sz w:val="20"/>
      <w:szCs w:val="20"/>
    </w:rPr>
  </w:style>
  <w:style w:type="paragraph" w:styleId="TOC6">
    <w:name w:val="toc 6"/>
    <w:basedOn w:val="Normal"/>
    <w:next w:val="Normal"/>
    <w:autoRedefine/>
    <w:uiPriority w:val="39"/>
    <w:semiHidden/>
    <w:unhideWhenUsed/>
    <w:rsid w:val="005A7270"/>
    <w:pPr>
      <w:ind w:left="1100"/>
    </w:pPr>
    <w:rPr>
      <w:sz w:val="20"/>
      <w:szCs w:val="20"/>
    </w:rPr>
  </w:style>
  <w:style w:type="paragraph" w:styleId="TOC7">
    <w:name w:val="toc 7"/>
    <w:basedOn w:val="Normal"/>
    <w:next w:val="Normal"/>
    <w:autoRedefine/>
    <w:uiPriority w:val="39"/>
    <w:semiHidden/>
    <w:unhideWhenUsed/>
    <w:rsid w:val="005A7270"/>
    <w:pPr>
      <w:ind w:left="1320"/>
    </w:pPr>
    <w:rPr>
      <w:sz w:val="20"/>
      <w:szCs w:val="20"/>
    </w:rPr>
  </w:style>
  <w:style w:type="paragraph" w:styleId="TOC8">
    <w:name w:val="toc 8"/>
    <w:basedOn w:val="Normal"/>
    <w:next w:val="Normal"/>
    <w:autoRedefine/>
    <w:uiPriority w:val="39"/>
    <w:semiHidden/>
    <w:unhideWhenUsed/>
    <w:rsid w:val="005A7270"/>
    <w:pPr>
      <w:ind w:left="1540"/>
    </w:pPr>
    <w:rPr>
      <w:sz w:val="20"/>
      <w:szCs w:val="20"/>
    </w:rPr>
  </w:style>
  <w:style w:type="paragraph" w:styleId="TOC9">
    <w:name w:val="toc 9"/>
    <w:basedOn w:val="Normal"/>
    <w:next w:val="Normal"/>
    <w:autoRedefine/>
    <w:uiPriority w:val="39"/>
    <w:semiHidden/>
    <w:unhideWhenUsed/>
    <w:rsid w:val="005A7270"/>
    <w:pPr>
      <w:ind w:left="1760"/>
    </w:pPr>
    <w:rPr>
      <w:sz w:val="20"/>
      <w:szCs w:val="20"/>
    </w:rPr>
  </w:style>
  <w:style w:type="character" w:styleId="FollowedHyperlink">
    <w:name w:val="FollowedHyperlink"/>
    <w:basedOn w:val="DefaultParagraphFont"/>
    <w:uiPriority w:val="99"/>
    <w:semiHidden/>
    <w:unhideWhenUsed/>
    <w:rsid w:val="00FD7E57"/>
    <w:rPr>
      <w:color w:val="800080" w:themeColor="followedHyperlink"/>
      <w:u w:val="single"/>
    </w:rPr>
  </w:style>
  <w:style w:type="character" w:styleId="HTMLCite">
    <w:name w:val="HTML Cite"/>
    <w:basedOn w:val="DefaultParagraphFont"/>
    <w:uiPriority w:val="99"/>
    <w:semiHidden/>
    <w:unhideWhenUsed/>
    <w:rsid w:val="00501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6149">
      <w:bodyDiv w:val="1"/>
      <w:marLeft w:val="0"/>
      <w:marRight w:val="0"/>
      <w:marTop w:val="0"/>
      <w:marBottom w:val="0"/>
      <w:divBdr>
        <w:top w:val="none" w:sz="0" w:space="0" w:color="auto"/>
        <w:left w:val="none" w:sz="0" w:space="0" w:color="auto"/>
        <w:bottom w:val="none" w:sz="0" w:space="0" w:color="auto"/>
        <w:right w:val="none" w:sz="0" w:space="0" w:color="auto"/>
      </w:divBdr>
    </w:div>
    <w:div w:id="958685812">
      <w:bodyDiv w:val="1"/>
      <w:marLeft w:val="0"/>
      <w:marRight w:val="0"/>
      <w:marTop w:val="0"/>
      <w:marBottom w:val="0"/>
      <w:divBdr>
        <w:top w:val="none" w:sz="0" w:space="0" w:color="auto"/>
        <w:left w:val="none" w:sz="0" w:space="0" w:color="auto"/>
        <w:bottom w:val="none" w:sz="0" w:space="0" w:color="auto"/>
        <w:right w:val="none" w:sz="0" w:space="0" w:color="auto"/>
      </w:divBdr>
    </w:div>
    <w:div w:id="1062407461">
      <w:bodyDiv w:val="1"/>
      <w:marLeft w:val="0"/>
      <w:marRight w:val="0"/>
      <w:marTop w:val="0"/>
      <w:marBottom w:val="0"/>
      <w:divBdr>
        <w:top w:val="none" w:sz="0" w:space="0" w:color="auto"/>
        <w:left w:val="none" w:sz="0" w:space="0" w:color="auto"/>
        <w:bottom w:val="none" w:sz="0" w:space="0" w:color="auto"/>
        <w:right w:val="none" w:sz="0" w:space="0" w:color="auto"/>
      </w:divBdr>
    </w:div>
    <w:div w:id="1170214146">
      <w:bodyDiv w:val="1"/>
      <w:marLeft w:val="0"/>
      <w:marRight w:val="0"/>
      <w:marTop w:val="0"/>
      <w:marBottom w:val="0"/>
      <w:divBdr>
        <w:top w:val="none" w:sz="0" w:space="0" w:color="auto"/>
        <w:left w:val="none" w:sz="0" w:space="0" w:color="auto"/>
        <w:bottom w:val="none" w:sz="0" w:space="0" w:color="auto"/>
        <w:right w:val="none" w:sz="0" w:space="0" w:color="auto"/>
      </w:divBdr>
    </w:div>
    <w:div w:id="1345403286">
      <w:bodyDiv w:val="1"/>
      <w:marLeft w:val="0"/>
      <w:marRight w:val="0"/>
      <w:marTop w:val="0"/>
      <w:marBottom w:val="0"/>
      <w:divBdr>
        <w:top w:val="none" w:sz="0" w:space="0" w:color="auto"/>
        <w:left w:val="none" w:sz="0" w:space="0" w:color="auto"/>
        <w:bottom w:val="none" w:sz="0" w:space="0" w:color="auto"/>
        <w:right w:val="none" w:sz="0" w:space="0" w:color="auto"/>
      </w:divBdr>
    </w:div>
    <w:div w:id="1638073349">
      <w:bodyDiv w:val="1"/>
      <w:marLeft w:val="0"/>
      <w:marRight w:val="0"/>
      <w:marTop w:val="0"/>
      <w:marBottom w:val="0"/>
      <w:divBdr>
        <w:top w:val="none" w:sz="0" w:space="0" w:color="auto"/>
        <w:left w:val="none" w:sz="0" w:space="0" w:color="auto"/>
        <w:bottom w:val="none" w:sz="0" w:space="0" w:color="auto"/>
        <w:right w:val="none" w:sz="0" w:space="0" w:color="auto"/>
      </w:divBdr>
    </w:div>
    <w:div w:id="1767575416">
      <w:bodyDiv w:val="1"/>
      <w:marLeft w:val="0"/>
      <w:marRight w:val="0"/>
      <w:marTop w:val="0"/>
      <w:marBottom w:val="0"/>
      <w:divBdr>
        <w:top w:val="none" w:sz="0" w:space="0" w:color="auto"/>
        <w:left w:val="none" w:sz="0" w:space="0" w:color="auto"/>
        <w:bottom w:val="none" w:sz="0" w:space="0" w:color="auto"/>
        <w:right w:val="none" w:sz="0" w:space="0" w:color="auto"/>
      </w:divBdr>
    </w:div>
    <w:div w:id="1812743350">
      <w:bodyDiv w:val="1"/>
      <w:marLeft w:val="0"/>
      <w:marRight w:val="0"/>
      <w:marTop w:val="0"/>
      <w:marBottom w:val="0"/>
      <w:divBdr>
        <w:top w:val="none" w:sz="0" w:space="0" w:color="auto"/>
        <w:left w:val="none" w:sz="0" w:space="0" w:color="auto"/>
        <w:bottom w:val="none" w:sz="0" w:space="0" w:color="auto"/>
        <w:right w:val="none" w:sz="0" w:space="0" w:color="auto"/>
      </w:divBdr>
    </w:div>
    <w:div w:id="182878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yperlink" Target="mailto:akillelea@nastad.org" TargetMode="External"/><Relationship Id="rId16" Type="http://schemas.openxmlformats.org/officeDocument/2006/relationships/hyperlink" Target="http://naschip.org/portal/" TargetMode="External"/><Relationship Id="rId17" Type="http://schemas.openxmlformats.org/officeDocument/2006/relationships/hyperlink" Target="http://www.nastad.org/care_and_treatment/resources.aspx?category=health%20reform" TargetMode="External"/><Relationship Id="rId18" Type="http://schemas.openxmlformats.org/officeDocument/2006/relationships/hyperlink" Target="http://blog.nastad.org/tag/health-refor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9" Type="http://schemas.openxmlformats.org/officeDocument/2006/relationships/hyperlink" Target="http://www.healthcare.gov/law/features/choices/pre-existing-condition-insurance-plan/index.html" TargetMode="External"/><Relationship Id="rId20" Type="http://schemas.openxmlformats.org/officeDocument/2006/relationships/hyperlink" Target="http://www.ncsl.org/issues-research/health/high-risk-pools-for-health-coverage.aspx" TargetMode="External"/><Relationship Id="rId21" Type="http://schemas.openxmlformats.org/officeDocument/2006/relationships/hyperlink" Target="http://www.advisory.com/Daily-Briefing/2012/11/09/MedicaidMap" TargetMode="External"/><Relationship Id="rId10" Type="http://schemas.openxmlformats.org/officeDocument/2006/relationships/hyperlink" Target="http://www.kff.org/healthreform/upload/8213-02.pdf" TargetMode="External"/><Relationship Id="rId11" Type="http://schemas.openxmlformats.org/officeDocument/2006/relationships/hyperlink" Target="http://www.kff.org/healthreform/upload/8303.pdf" TargetMode="External"/><Relationship Id="rId12" Type="http://schemas.openxmlformats.org/officeDocument/2006/relationships/hyperlink" Target="http://www.nastad.org/docs/HCA-Affordability-Brief-FINAL-February-2013.pdf" TargetMode="External"/><Relationship Id="rId13" Type="http://schemas.openxmlformats.org/officeDocument/2006/relationships/hyperlink" Target="http://www.kff.org/medicaid/upload/8384.pdf" TargetMode="External"/><Relationship Id="rId14" Type="http://schemas.openxmlformats.org/officeDocument/2006/relationships/hyperlink" Target="http://www.cbpp.org/cms/index.cfm?fa=view&amp;id=3819" TargetMode="External"/><Relationship Id="rId15" Type="http://schemas.openxmlformats.org/officeDocument/2006/relationships/hyperlink" Target="http://www.healthcare.gov/law/features/choices/pre-existing-condition-insurance-plan/nc.html" TargetMode="External"/><Relationship Id="rId16" Type="http://schemas.openxmlformats.org/officeDocument/2006/relationships/hyperlink" Target="http://www.nastad.org/docs/HCA-Affordability-Brief-FINAL-February-2013.pdf" TargetMode="External"/><Relationship Id="rId17" Type="http://schemas.openxmlformats.org/officeDocument/2006/relationships/hyperlink" Target="http://www.chip.state.il.us/Material%20considered%20at%20the%20October%202%202012%20Board%20meeting.pdf" TargetMode="External"/><Relationship Id="rId18" Type="http://schemas.openxmlformats.org/officeDocument/2006/relationships/hyperlink" Target="http://cciio.cms.gov/resources/files/12-28-2010portability_of_coverage-ltr.pdf" TargetMode="External"/><Relationship Id="rId19" Type="http://schemas.openxmlformats.org/officeDocument/2006/relationships/hyperlink" Target="http://www.politico.com/story/2013/01/states-rethink-high-risk-pools-exchanges-86831_Page2.html" TargetMode="External"/><Relationship Id="rId1" Type="http://schemas.openxmlformats.org/officeDocument/2006/relationships/hyperlink" Target="http://naschip.org/portal/index.php?option=com_content&amp;view=article&amp;id=54:about-pools" TargetMode="External"/><Relationship Id="rId2" Type="http://schemas.openxmlformats.org/officeDocument/2006/relationships/hyperlink" Target="http://nastad.org/docs/NASTAD-National-ADAP-Monitoring-Project-Report-Module-2-2013.pdf" TargetMode="External"/><Relationship Id="rId3" Type="http://schemas.openxmlformats.org/officeDocument/2006/relationships/hyperlink" Target="http://www.cms.gov/Regulations-and-Guidance/Health-Insurance-Reform/HealthInsReformforConsume/downloads/HIPAA_Eligibility_Criteria.pdf" TargetMode="External"/><Relationship Id="rId4" Type="http://schemas.openxmlformats.org/officeDocument/2006/relationships/hyperlink" Target="http://www.irs.gov/Individuals/HCTC:-Eligibility-Requirements-and-How-to-Receive-the-HCTC-" TargetMode="External"/><Relationship Id="rId5" Type="http://schemas.openxmlformats.org/officeDocument/2006/relationships/hyperlink" Target="http://www.commonwealthfund.org/~/media/Files/Publications/Issue%20Brief/2012/Sep/1627_Hall_PCIP_enrollment_costs_lessons_rb.pdf" TargetMode="External"/><Relationship Id="rId6" Type="http://schemas.openxmlformats.org/officeDocument/2006/relationships/hyperlink" Target="http://cciio.cms.gov/resources/files/hie-reinsurance-fact-sheet-handout.pdf" TargetMode="External"/><Relationship Id="rId7" Type="http://schemas.openxmlformats.org/officeDocument/2006/relationships/hyperlink" Target="http://cciio.cms.gov/resources/files/Files2/02242012/pcip-report.pdf" TargetMode="External"/><Relationship Id="rId8" Type="http://schemas.openxmlformats.org/officeDocument/2006/relationships/hyperlink" Target="http://www.commonwealthfund.org/~/media/Files/Publications/Issue%20Brief/2012/Sep/1627_Hall_PCIP_enrollment_costs_lessons_r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FE3A-3C12-904F-A71D-F69D61C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3488</Words>
  <Characters>19886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NASTAD</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Whitlock</dc:creator>
  <cp:lastModifiedBy>Robert Stumberg</cp:lastModifiedBy>
  <cp:revision>3</cp:revision>
  <cp:lastPrinted>2013-04-24T14:21:00Z</cp:lastPrinted>
  <dcterms:created xsi:type="dcterms:W3CDTF">2014-03-19T19:51:00Z</dcterms:created>
  <dcterms:modified xsi:type="dcterms:W3CDTF">2014-03-20T02:31:00Z</dcterms:modified>
</cp:coreProperties>
</file>